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507195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NR NTN phase3</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7.31.6</w:t>
      </w:r>
      <w:bookmarkStart w:id="5" w:name="_GoBack"/>
      <w:bookmarkEnd w:id="5"/>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RRM core requirements for Rel-19 NTN enhancements are discussed in past meetings. Since the scope of the core requirements is stable enough, it is time for RAN4 to start working on the performance part of the WI. In this paper we will provide our initial views on RRM performance requirements on NR NTN phase 3.</w:t>
      </w:r>
    </w:p>
    <w:p>
      <w:pPr>
        <w:pStyle w:val="76"/>
        <w:rPr>
          <w:lang w:val="en-US"/>
        </w:rPr>
      </w:pPr>
      <w:r>
        <w:rPr>
          <w:lang w:val="en-US"/>
        </w:rPr>
        <w:t>Discussion</w:t>
      </w:r>
    </w:p>
    <w:p>
      <w:pPr>
        <w:rPr>
          <w:rFonts w:hint="default" w:eastAsia="宋体"/>
          <w:lang w:val="en-US" w:eastAsia="zh-CN"/>
        </w:rPr>
      </w:pPr>
      <w:r>
        <w:rPr>
          <w:rFonts w:hint="eastAsia" w:eastAsia="宋体"/>
          <w:lang w:val="en-US" w:eastAsia="zh-CN"/>
        </w:rPr>
        <w:t>In this section, we would like to provide our initial views on performance requirements on two different topics, which are redcap UEs in NTN scenario and downlink coverage enhancement. In this meeting, we mainly study general scope of these two topics.</w:t>
      </w:r>
    </w:p>
    <w:p>
      <w:pPr>
        <w:pStyle w:val="78"/>
        <w:numPr>
          <w:ilvl w:val="1"/>
          <w:numId w:val="0"/>
        </w:numPr>
        <w:bidi w:val="0"/>
        <w:ind w:leftChars="0"/>
        <w:rPr>
          <w:rFonts w:hint="default"/>
          <w:lang w:val="en-US" w:eastAsia="zh-CN"/>
        </w:rPr>
      </w:pPr>
      <w:r>
        <w:rPr>
          <w:rFonts w:hint="eastAsia"/>
          <w:lang w:val="en-US" w:eastAsia="zh-CN"/>
        </w:rPr>
        <w:t>2.1 RedCap UEs in NTN scenario</w:t>
      </w:r>
    </w:p>
    <w:p>
      <w:pPr>
        <w:rPr>
          <w:rFonts w:hint="default"/>
          <w:lang w:val="en-US" w:eastAsia="zh-CN"/>
        </w:rPr>
      </w:pPr>
      <w:r>
        <w:rPr>
          <w:rFonts w:hint="eastAsia"/>
          <w:lang w:val="en-US" w:eastAsia="zh-CN"/>
        </w:rPr>
        <w:t xml:space="preserve">In previous meetings, we have spent lots of time on discussing core requirements on redcap UEs in NTN scenario. To our understanding, the core requirements are quite stable so far and the performance requirements can be discussed in this meeting. </w:t>
      </w:r>
    </w:p>
    <w:p>
      <w:pPr>
        <w:pStyle w:val="4"/>
        <w:bidi w:val="0"/>
        <w:rPr>
          <w:rFonts w:hint="eastAsia"/>
          <w:lang w:val="en-US" w:eastAsia="zh-CN"/>
        </w:rPr>
      </w:pPr>
      <w:r>
        <w:rPr>
          <w:rFonts w:hint="eastAsia"/>
          <w:lang w:val="en-US" w:eastAsia="zh-CN"/>
        </w:rPr>
        <w:t>2.1.1 Test Scope</w:t>
      </w:r>
    </w:p>
    <w:p>
      <w:pPr>
        <w:rPr>
          <w:rFonts w:hint="eastAsia"/>
          <w:lang w:val="en-US" w:eastAsia="zh-CN"/>
        </w:rPr>
      </w:pPr>
      <w:r>
        <w:rPr>
          <w:rFonts w:hint="eastAsia"/>
          <w:lang w:val="en-US" w:eastAsia="zh-CN"/>
        </w:rPr>
        <w:t>For RedCap UEs in NTN scenario, according to previous agreements discussed in core part, some new test cases will be added in the existing NTN test cases, which will also be defined in Clause A.14.</w:t>
      </w:r>
    </w:p>
    <w:p>
      <w:pPr>
        <w:rPr>
          <w:rFonts w:hint="eastAsia"/>
          <w:b/>
          <w:bCs/>
          <w:lang w:val="en-US" w:eastAsia="zh-CN"/>
        </w:rPr>
      </w:pPr>
      <w:r>
        <w:rPr>
          <w:rFonts w:hint="eastAsia"/>
          <w:b/>
          <w:bCs/>
          <w:lang w:val="en-US" w:eastAsia="zh-CN"/>
        </w:rPr>
        <w:t>Proposal 1: For RedCap UEs in NTN scenario, some new test cases will be added in the existing NTN test cases, which will also be defined in Clause A.14.</w:t>
      </w:r>
    </w:p>
    <w:p>
      <w:pPr>
        <w:rPr>
          <w:rFonts w:hint="eastAsia"/>
          <w:lang w:val="en-US" w:eastAsia="zh-CN"/>
        </w:rPr>
      </w:pPr>
      <w:r>
        <w:rPr>
          <w:rFonts w:hint="eastAsia"/>
          <w:lang w:val="en-US" w:eastAsia="zh-CN"/>
        </w:rPr>
        <w:t>In core part discussion, we have the agreement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Theme="minorEastAsia"/>
                <w:b/>
                <w:sz w:val="20"/>
                <w:szCs w:val="20"/>
                <w:u w:val="single"/>
                <w:lang w:eastAsia="zh-CN"/>
              </w:rPr>
            </w:pPr>
            <w:r>
              <w:rPr>
                <w:rFonts w:hint="default"/>
                <w:b/>
                <w:bCs/>
                <w:sz w:val="20"/>
                <w:szCs w:val="24"/>
              </w:rPr>
              <w:t>&lt;Agreement&gt;</w:t>
            </w:r>
          </w:p>
          <w:p>
            <w:pPr>
              <w:pStyle w:val="72"/>
              <w:keepNext w:val="0"/>
              <w:keepLines w:val="0"/>
              <w:widowControl/>
              <w:numPr>
                <w:ilvl w:val="0"/>
                <w:numId w:val="3"/>
              </w:numPr>
              <w:suppressLineNumbers w:val="0"/>
              <w:spacing w:before="0" w:beforeAutospacing="0" w:after="120" w:afterAutospacing="0"/>
              <w:ind w:left="720" w:right="0"/>
              <w:contextualSpacing w:val="0"/>
              <w:rPr>
                <w:rFonts w:hint="default"/>
                <w:szCs w:val="24"/>
                <w:lang w:eastAsia="zh-CN"/>
              </w:rPr>
            </w:pPr>
            <w:r>
              <w:rPr>
                <w:rFonts w:hint="default"/>
                <w:szCs w:val="24"/>
                <w:lang w:val="en-GB" w:eastAsia="zh-CN"/>
              </w:rPr>
              <w:t>FR2 related requirements shall not be defined for (e)RedCap UE with FR1-NTN bands.</w:t>
            </w:r>
          </w:p>
          <w:p>
            <w:pPr>
              <w:pStyle w:val="72"/>
              <w:keepNext w:val="0"/>
              <w:keepLines w:val="0"/>
              <w:widowControl/>
              <w:numPr>
                <w:ilvl w:val="0"/>
                <w:numId w:val="3"/>
              </w:numPr>
              <w:suppressLineNumbers w:val="0"/>
              <w:spacing w:before="0" w:beforeAutospacing="0" w:after="120" w:afterAutospacing="0"/>
              <w:ind w:left="720" w:right="0"/>
              <w:contextualSpacing w:val="0"/>
              <w:rPr>
                <w:rFonts w:hint="default"/>
                <w:szCs w:val="24"/>
                <w:lang w:val="en-GB" w:eastAsia="zh-CN"/>
              </w:rPr>
            </w:pPr>
            <w:r>
              <w:rPr>
                <w:rFonts w:hint="default"/>
                <w:szCs w:val="24"/>
                <w:lang w:val="en-GB" w:eastAsia="zh-CN"/>
              </w:rPr>
              <w:t>The requirements defined for both NTN and (e)RedCap UE requirements should be defined for (e)RedCap UE with FR1-NTN bands, including the following:</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val="en-GB" w:eastAsia="zh-CN"/>
              </w:rPr>
            </w:pPr>
            <w:r>
              <w:rPr>
                <w:rFonts w:hint="default" w:cstheme="minorHAnsi"/>
                <w:bCs/>
                <w:lang w:eastAsia="zh-CN"/>
              </w:rPr>
              <w:t>Cell Re-selection for RRC_IDLE state mobility</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Cell Re-selection for RRC_INACTIVE state mobility</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NR Handover</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 xml:space="preserve">NR FR1 - NR FR1 RACH-based Handover </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RRC Connection Mobility Control</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SA: RRC Re-establishment</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Random access</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 xml:space="preserve">SA: RRC Connection Release with Redirection </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Timing</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 xml:space="preserve">UE transmit timing </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UE timer accuracy</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 xml:space="preserve">Timing advance </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Signalling characteristics</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 xml:space="preserve">Radio Link Monitoring </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Link Recovery Procedures</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Active BWP switch delay</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Active TCI state switching delay</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UE-specific CBW change</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Measurement Procedure</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General measurement requirement</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NR intra-frequency measurements</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NR inter-frequency measurements</w:t>
            </w:r>
          </w:p>
          <w:p>
            <w:pPr>
              <w:pStyle w:val="72"/>
              <w:keepNext w:val="0"/>
              <w:keepLines w:val="0"/>
              <w:widowControl/>
              <w:numPr>
                <w:ilvl w:val="2"/>
                <w:numId w:val="3"/>
              </w:numPr>
              <w:suppressLineNumbers w:val="0"/>
              <w:spacing w:before="0" w:beforeAutospacing="0" w:afterAutospacing="0"/>
              <w:ind w:right="0"/>
              <w:contextualSpacing w:val="0"/>
              <w:rPr>
                <w:rFonts w:hint="default" w:eastAsiaTheme="minorEastAsia"/>
                <w:iCs/>
                <w:lang w:eastAsia="zh-CN"/>
              </w:rPr>
            </w:pPr>
            <w:r>
              <w:rPr>
                <w:rFonts w:hint="default" w:eastAsiaTheme="minorEastAsia"/>
                <w:iCs/>
                <w:lang w:eastAsia="zh-CN"/>
              </w:rPr>
              <w:t>L1-RSRP measurements for Reporting</w:t>
            </w:r>
          </w:p>
          <w:p>
            <w:pPr>
              <w:pStyle w:val="72"/>
              <w:keepNext w:val="0"/>
              <w:keepLines w:val="0"/>
              <w:widowControl/>
              <w:numPr>
                <w:ilvl w:val="0"/>
                <w:numId w:val="3"/>
              </w:numPr>
              <w:suppressLineNumbers w:val="0"/>
              <w:spacing w:before="0" w:beforeAutospacing="0" w:after="120" w:afterAutospacing="0"/>
              <w:ind w:left="720" w:right="0"/>
              <w:contextualSpacing w:val="0"/>
              <w:rPr>
                <w:rFonts w:hint="default"/>
                <w:szCs w:val="24"/>
                <w:lang w:eastAsia="zh-CN"/>
              </w:rPr>
            </w:pPr>
            <w:r>
              <w:rPr>
                <w:rFonts w:hint="default"/>
                <w:szCs w:val="24"/>
                <w:lang w:eastAsia="zh-CN"/>
              </w:rPr>
              <w:t xml:space="preserve">For the requirements that have only been defined for NTN, RAN4 to define the </w:t>
            </w:r>
            <w:bookmarkStart w:id="2" w:name="OLE_LINK64"/>
            <w:bookmarkStart w:id="3" w:name="OLE_LINK63"/>
            <w:r>
              <w:rPr>
                <w:rFonts w:hint="default"/>
                <w:szCs w:val="24"/>
                <w:lang w:eastAsia="zh-CN"/>
              </w:rPr>
              <w:t>following FR1-NTN requirements</w:t>
            </w:r>
            <w:bookmarkEnd w:id="2"/>
            <w:bookmarkEnd w:id="3"/>
            <w:r>
              <w:rPr>
                <w:rFonts w:hint="default"/>
                <w:szCs w:val="24"/>
                <w:lang w:eastAsia="zh-CN"/>
              </w:rPr>
              <w:t xml:space="preserve"> for (e)Redcap:</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highlight w:val="none"/>
                <w:lang w:eastAsia="zh-CN"/>
              </w:rPr>
            </w:pPr>
            <w:r>
              <w:rPr>
                <w:rFonts w:hint="default" w:cstheme="minorHAnsi"/>
                <w:bCs/>
                <w:highlight w:val="none"/>
                <w:lang w:eastAsia="zh-CN"/>
              </w:rPr>
              <w:t>NR SAN Satellite switching with re-synchronization</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highlight w:val="none"/>
                <w:lang w:eastAsia="zh-CN"/>
              </w:rPr>
            </w:pPr>
            <w:r>
              <w:rPr>
                <w:rFonts w:hint="default" w:cstheme="minorHAnsi"/>
                <w:bCs/>
                <w:highlight w:val="none"/>
                <w:lang w:eastAsia="zh-CN"/>
              </w:rPr>
              <w:t>Pathloss reference signal switching delay</w:t>
            </w:r>
          </w:p>
          <w:p>
            <w:pPr>
              <w:pStyle w:val="72"/>
              <w:keepNext w:val="0"/>
              <w:keepLines w:val="0"/>
              <w:widowControl/>
              <w:numPr>
                <w:ilvl w:val="1"/>
                <w:numId w:val="3"/>
              </w:numPr>
              <w:suppressLineNumbers w:val="0"/>
              <w:spacing w:before="0" w:beforeAutospacing="0" w:after="120" w:afterAutospacing="0"/>
              <w:ind w:right="0"/>
              <w:contextualSpacing w:val="0"/>
              <w:rPr>
                <w:rFonts w:hint="default"/>
                <w:vertAlign w:val="baseline"/>
                <w:lang w:val="en-US" w:eastAsia="zh-CN"/>
              </w:rPr>
            </w:pPr>
            <w:r>
              <w:rPr>
                <w:rFonts w:hint="default" w:cstheme="minorHAnsi"/>
                <w:bCs/>
                <w:highlight w:val="none"/>
                <w:lang w:eastAsia="zh-CN"/>
              </w:rPr>
              <w:t>Network verified UE location</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From our perspective, first of all, the test cases for legacy normal UE in NR NTN scenario could be as the baseline. Secondly, we know that the some legacy core requirements are impacted by redcap UEs, thus, we shall only recognize the new requirements compared to legacy requirements and analyze the relevant test cases.</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cell re-selection requirements, we have normal cell-re-selection requirements and enhanced measurement requirements, we find that both two requirements are applied for 1Rx and 2Rx UEs. We find that only the UE capability and additional margin are different for 1Rx and 2Rx UEs, which are the same as legacy defined in RedCap WI. Because of this, the new test cases shall be defined in NTN scenario. We also observe that RAN4 will reuse the enhanced cell re-selection requirements for normal UE except for T</w:t>
      </w:r>
      <w:r>
        <w:rPr>
          <w:rFonts w:hint="eastAsia"/>
          <w:vertAlign w:val="subscript"/>
          <w:lang w:val="en-US" w:eastAsia="zh-CN"/>
        </w:rPr>
        <w:t>detect</w:t>
      </w:r>
      <w:r>
        <w:rPr>
          <w:rFonts w:hint="eastAsia"/>
          <w:lang w:val="en-US" w:eastAsia="zh-CN"/>
        </w:rPr>
        <w:t xml:space="preserve"> being extended by [2] DRX cycles. Thus, we can only have the test case on this part for cell re-selection requirements.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Cell Re-selection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 Cell re-selection to FR1 intra-frequency NR cell for UE configured with the feature for enhanced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sz w:val="20"/>
                <w:szCs w:val="20"/>
                <w:vertAlign w:val="baseline"/>
                <w:lang w:val="en-US" w:eastAsia="zh-CN"/>
              </w:rPr>
            </w:pPr>
            <w:r>
              <w:rPr>
                <w:rFonts w:hint="eastAsia"/>
                <w:sz w:val="20"/>
                <w:szCs w:val="20"/>
                <w:vertAlign w:val="baseline"/>
                <w:lang w:val="en-US" w:eastAsia="zh-CN"/>
              </w:rPr>
              <w:t>TC 2: Cell re-selection to FR1 intra-frequency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sz w:val="20"/>
                <w:szCs w:val="20"/>
                <w:vertAlign w:val="baseline"/>
                <w:lang w:val="en-US" w:eastAsia="zh-CN"/>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sz w:val="20"/>
                <w:szCs w:val="20"/>
                <w:vertAlign w:val="baseline"/>
                <w:lang w:val="en-US" w:eastAsia="zh-CN"/>
              </w:rPr>
            </w:pPr>
            <w:r>
              <w:rPr>
                <w:rFonts w:hint="eastAsia"/>
                <w:sz w:val="20"/>
                <w:szCs w:val="20"/>
                <w:vertAlign w:val="baseline"/>
                <w:lang w:val="en-US" w:eastAsia="zh-CN"/>
              </w:rPr>
              <w:t>TC 3: Cell re-selection to FR1 inter-frequency NR case for 1Rx UE.</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handover requirements, we have RACH-based handover and RACH-less handover in NTN scenario. For RACH-based handover requirements, the legacy requirements for 2Rx UEs are reused, thus, the test cases for RACH-based handover could be reused. For 1Rx RACH-based handover requirements, RAN4 shall define the related test cases. For RACH-less handover, only 1Rx UEs shall be defined in core part discussion. Consequently, we would like to define the test cases for 1Rx UE.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Handover</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 xml:space="preserve">TC 4: Intra-frequency SAN RACH-less handover from FR1-FR1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5: Intra-frequency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6: Inter-frequency SAN handover from FR1-FR1 for 1Rx UE: unknown cell</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conditional handover, we have time-/location-based CHO without/with L3 requirements. Based on the discussion on core part, we find that only the test cases for time-/location-based CHO with/without L3 measurement for 1Rx UE shall be defined.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CHO</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7: Intra-frequency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8: Inter-frequency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9: Intra-frequency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10: Inter-frequency SAN time-based conditional handover from FR1-FR1 for 1Rx UE</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 xml:space="preserve">For satellite switching, RAN4 defined the new requirements for 1Rx RedCap UEs with FR1-NTN bands. We shall only consider the relevant test cases on it.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Satellite switching</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 xml:space="preserve">TC 11: RACH-based hard satellite switching with re-sync from FR1 to FR1 for 1Rx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12: RACH-less soft satellite switching with re-sync from FR1 to FR1 for 1Rx UEs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RRC re-establishment requirements, RAN4 has defined the new requirements for 1Rx RedCap UEs with FR1 NTN bands. However, the requirements for 2Rx RedCap UEs are still under discussion since the existing NTN requirements may need be revised depends on the supported UE capabilities. Consequently, we deem that the new test cases for 1Rx UEs shall be considered. Whether to define the new test cases for 2Rx UE could be discussed.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sz w:val="20"/>
                <w:szCs w:val="20"/>
                <w:vertAlign w:val="baseline"/>
                <w:lang w:val="en-US" w:eastAsia="zh-CN"/>
              </w:rPr>
            </w:pPr>
            <w:r>
              <w:rPr>
                <w:rFonts w:hint="eastAsia"/>
                <w:sz w:val="20"/>
                <w:szCs w:val="20"/>
                <w:vertAlign w:val="baseline"/>
                <w:lang w:val="en-US" w:eastAsia="zh-CN"/>
              </w:rPr>
              <w:t xml:space="preserve">RRC </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Re-establishment</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13: Intra-frequency RRC Re-establishment in FR1 for 1Rx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14: Intra-frequency RRC Re-establishment in FR1 for 2Rx UEs: unknown cell]</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The same story for RRC Connection Release with redirection requirements, the potential test cases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sz w:val="20"/>
                <w:szCs w:val="20"/>
                <w:vertAlign w:val="baseline"/>
                <w:lang w:val="en-US" w:eastAsia="zh-CN"/>
              </w:rPr>
            </w:pPr>
            <w:r>
              <w:rPr>
                <w:rFonts w:hint="eastAsia"/>
                <w:sz w:val="20"/>
                <w:szCs w:val="20"/>
                <w:vertAlign w:val="baseline"/>
                <w:lang w:val="en-US" w:eastAsia="zh-CN"/>
              </w:rPr>
              <w:t>RRC Connection</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Release with redirection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15: Redirection from NR in FR1 to NR in 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16: Redirection from NR in FR1 to NR in FR1 for 2Rx UE]</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RA requirements, the following test cases shall be considered based on core part discussion: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Random Access</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17: 4-step RA type CBRA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18: 4-step RA type CFRA test in FR1 for NR standalone for 1Rx UEs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The same story as RRC re-establishment for RLM/BFD/CBD and L1/L3 measurement. The following test cases could be considered: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RLM/BFD/CBD</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19: Intra-frequency RLM/BFD/CBD SSB-based measurement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20: Intra-frequency RLM/BFD/CBD SSB-based measurement in FR1 for 2Rx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L1/L3 measurement procedure</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21: SA event triggered reporting tests without gap under non-DRX with SSB index reading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22: SA event triggered reporting tests without gap under non-DRX with SSB index reading in FR1 for 2Rx UEs]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lang w:val="en-US" w:eastAsia="zh-CN"/>
        </w:rPr>
      </w:pPr>
      <w:r>
        <w:rPr>
          <w:rFonts w:hint="eastAsia"/>
          <w:lang w:val="en-US" w:eastAsia="zh-CN"/>
        </w:rPr>
        <w:t>For timing requirements, we observe that the existing timing requirements shall be reused without differentiating 1Rx/2Rx. Thus, we deem that the legacy test cases for timing can be reused without defining any test cases for timing requirements.</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In core part discussion, for signaling characteristics for 1Rx/2Rx redcap UEs, the agreement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sz w:val="20"/>
                <w:szCs w:val="20"/>
                <w:lang w:val="en-GB"/>
              </w:rPr>
            </w:pPr>
            <w:r>
              <w:rPr>
                <w:rFonts w:hint="default"/>
                <w:b/>
                <w:sz w:val="20"/>
                <w:szCs w:val="24"/>
                <w:highlight w:val="green"/>
                <w:lang w:eastAsia="zh-CN"/>
              </w:rPr>
              <w:t>&lt; Agreement &gt;</w:t>
            </w:r>
            <w:r>
              <w:rPr>
                <w:rFonts w:hint="eastAsia"/>
                <w:b/>
                <w:sz w:val="20"/>
                <w:szCs w:val="24"/>
                <w:highlight w:val="green"/>
                <w:lang w:val="en-US" w:eastAsia="zh-CN"/>
              </w:rPr>
              <w:t>:</w:t>
            </w:r>
          </w:p>
          <w:p>
            <w:pPr>
              <w:pStyle w:val="72"/>
              <w:keepNext w:val="0"/>
              <w:keepLines w:val="0"/>
              <w:widowControl/>
              <w:numPr>
                <w:ilvl w:val="1"/>
                <w:numId w:val="3"/>
              </w:numPr>
              <w:suppressLineNumbers w:val="0"/>
              <w:spacing w:before="0" w:beforeAutospacing="0" w:after="120" w:afterAutospacing="0"/>
              <w:ind w:right="0"/>
              <w:contextualSpacing w:val="0"/>
              <w:rPr>
                <w:rFonts w:hint="default"/>
                <w:iCs/>
                <w:szCs w:val="21"/>
                <w:highlight w:val="none"/>
              </w:rPr>
            </w:pPr>
            <w:r>
              <w:rPr>
                <w:rFonts w:hint="default"/>
                <w:iCs/>
                <w:szCs w:val="21"/>
                <w:highlight w:val="none"/>
              </w:rPr>
              <w:t>The existing following requirements defined for NTN can be reused for (e)RedCap UEs with FR1-NTN bands:</w:t>
            </w:r>
          </w:p>
          <w:p>
            <w:pPr>
              <w:pStyle w:val="72"/>
              <w:keepNext w:val="0"/>
              <w:keepLines w:val="0"/>
              <w:widowControl/>
              <w:numPr>
                <w:ilvl w:val="2"/>
                <w:numId w:val="3"/>
              </w:numPr>
              <w:suppressLineNumbers w:val="0"/>
              <w:spacing w:before="0" w:beforeAutospacing="0" w:afterAutospacing="0"/>
              <w:ind w:right="0"/>
              <w:rPr>
                <w:rFonts w:hint="default"/>
                <w:iCs/>
                <w:szCs w:val="21"/>
                <w:highlight w:val="none"/>
              </w:rPr>
            </w:pPr>
            <w:r>
              <w:rPr>
                <w:rFonts w:hint="default"/>
                <w:iCs/>
                <w:szCs w:val="21"/>
                <w:highlight w:val="none"/>
              </w:rPr>
              <w:t xml:space="preserve">Active BWP switch delay, </w:t>
            </w:r>
          </w:p>
          <w:p>
            <w:pPr>
              <w:pStyle w:val="72"/>
              <w:keepNext w:val="0"/>
              <w:keepLines w:val="0"/>
              <w:widowControl/>
              <w:numPr>
                <w:ilvl w:val="2"/>
                <w:numId w:val="3"/>
              </w:numPr>
              <w:suppressLineNumbers w:val="0"/>
              <w:spacing w:before="0" w:beforeAutospacing="0" w:afterAutospacing="0"/>
              <w:ind w:right="0"/>
              <w:rPr>
                <w:rFonts w:hint="default"/>
                <w:iCs/>
                <w:szCs w:val="21"/>
                <w:highlight w:val="none"/>
              </w:rPr>
            </w:pPr>
            <w:r>
              <w:rPr>
                <w:rFonts w:hint="default"/>
                <w:iCs/>
                <w:szCs w:val="21"/>
                <w:highlight w:val="none"/>
              </w:rPr>
              <w:t>active TCI state switch delay</w:t>
            </w:r>
          </w:p>
          <w:p>
            <w:pPr>
              <w:pStyle w:val="72"/>
              <w:keepNext w:val="0"/>
              <w:keepLines w:val="0"/>
              <w:widowControl/>
              <w:numPr>
                <w:ilvl w:val="2"/>
                <w:numId w:val="3"/>
              </w:numPr>
              <w:suppressLineNumbers w:val="0"/>
              <w:spacing w:before="0" w:beforeAutospacing="0" w:afterAutospacing="0"/>
              <w:ind w:right="0"/>
              <w:rPr>
                <w:rFonts w:hint="default"/>
                <w:iCs/>
                <w:szCs w:val="21"/>
                <w:highlight w:val="none"/>
              </w:rPr>
            </w:pPr>
            <w:r>
              <w:rPr>
                <w:rFonts w:hint="default"/>
                <w:iCs/>
                <w:szCs w:val="21"/>
                <w:highlight w:val="none"/>
              </w:rPr>
              <w:t>UE specific CBW change requirements</w:t>
            </w:r>
          </w:p>
          <w:p>
            <w:pPr>
              <w:pStyle w:val="72"/>
              <w:keepNext w:val="0"/>
              <w:keepLines w:val="0"/>
              <w:widowControl/>
              <w:numPr>
                <w:ilvl w:val="2"/>
                <w:numId w:val="3"/>
              </w:numPr>
              <w:suppressLineNumbers w:val="0"/>
              <w:spacing w:before="0" w:beforeAutospacing="0" w:afterAutospacing="0"/>
              <w:ind w:right="0"/>
              <w:rPr>
                <w:rFonts w:hint="default"/>
                <w:iCs/>
                <w:szCs w:val="21"/>
                <w:highlight w:val="none"/>
              </w:rPr>
            </w:pPr>
            <w:r>
              <w:rPr>
                <w:rFonts w:hint="default"/>
                <w:iCs/>
                <w:szCs w:val="21"/>
                <w:highlight w:val="none"/>
              </w:rPr>
              <w:t>Pathloss reference signal switching delay</w:t>
            </w:r>
          </w:p>
          <w:p>
            <w:pPr>
              <w:pStyle w:val="72"/>
              <w:keepNext w:val="0"/>
              <w:keepLines w:val="0"/>
              <w:widowControl/>
              <w:numPr>
                <w:ilvl w:val="1"/>
                <w:numId w:val="3"/>
              </w:numPr>
              <w:suppressLineNumbers w:val="0"/>
              <w:spacing w:before="0" w:beforeAutospacing="0" w:after="120" w:afterAutospacing="0"/>
              <w:ind w:right="0"/>
              <w:contextualSpacing w:val="0"/>
              <w:rPr>
                <w:rFonts w:hint="default"/>
                <w:vertAlign w:val="baseline"/>
                <w:lang w:val="en-US" w:eastAsia="zh-CN"/>
              </w:rPr>
            </w:pPr>
            <w:r>
              <w:rPr>
                <w:rFonts w:hint="default"/>
                <w:iCs/>
                <w:szCs w:val="21"/>
                <w:highlight w:val="none"/>
              </w:rPr>
              <w:t>The above requirements defined for 1Rx and 2Rx (e)RedCap UEs with FR1-NTN bands will be the same, and there is no need to differentiate 1Rx/2Rx requirements.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the above feature, no new test cases is needed since the legacy test cases could be reused.</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lang w:val="en-US" w:eastAsia="zh-CN"/>
        </w:rPr>
      </w:pPr>
      <w:r>
        <w:rPr>
          <w:rFonts w:hint="eastAsia"/>
          <w:lang w:val="en-US" w:eastAsia="zh-CN"/>
        </w:rPr>
        <w:t>Based on above, we propose the following test cases shall be considered in this meeting:</w:t>
      </w:r>
    </w:p>
    <w:p>
      <w:pPr>
        <w:rPr>
          <w:rFonts w:hint="eastAsia"/>
          <w:b/>
          <w:bCs/>
          <w:lang w:val="en-US" w:eastAsia="zh-CN"/>
        </w:rPr>
      </w:pPr>
      <w:r>
        <w:rPr>
          <w:rFonts w:hint="eastAsia"/>
          <w:b/>
          <w:bCs/>
          <w:lang w:val="en-US" w:eastAsia="zh-CN"/>
        </w:rPr>
        <w:t>Proposal 2: RAN4 shall define the following test cases for redcap UEs in NTN scenario:</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Cell Re-selection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 Cell re-selection to FR1 intra-frequency NR cell for UE configured with the feature for enhanced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 Cell re-selection to FR1 intra-frequency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3: Cell re-selection to FR1 inter-frequency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Handover</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 xml:space="preserve">TC 4: Intra-frequency SAN RACH-less handover from FR1-FR1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5: Intra-frequency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6: Inter-frequency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CHO</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7: Intra-frequency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8: Inter-frequency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9: Intra-frequency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10: Inter-frequency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Satellite switching</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 xml:space="preserve">TC 11: RACH-based hard satellite switching with re-sync from FR1 to FR1 for 1Rx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12: RACH-less soft satellite switching with re-sync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 xml:space="preserve">RRC </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Re-establishment</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13: Intra-frequency RRC Re-establishment in FR1 for 1Rx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14: Intra-frequency RRC Re-establishment in FR1 for 2Rx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RRC Connection</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Release with redirection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15: Redirection from NR in FR1 to NR in 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16: Redirection from NR in FR1 to NR in FR1 for 2Rx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eastAsia="宋体"/>
                <w:b/>
                <w:bCs/>
                <w:sz w:val="20"/>
                <w:szCs w:val="20"/>
                <w:lang w:val="en-US" w:eastAsia="zh-CN"/>
              </w:rPr>
            </w:pPr>
            <w:r>
              <w:rPr>
                <w:rFonts w:hint="eastAsia" w:eastAsia="宋体"/>
                <w:b/>
                <w:bCs/>
                <w:sz w:val="20"/>
                <w:szCs w:val="20"/>
                <w:lang w:val="en-US" w:eastAsia="zh-CN"/>
              </w:rPr>
              <w:t>Random Access</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17: 4-step RA type CBRA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18: 4-step RA type CFRA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RLM/BFD/CBD</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19: Intra-frequency RLM/BFD/CBD SSB-based measurement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20: Intra-frequency RLM/BFD/CBD SSB-based measurement in FR1 for 2Rx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restart"/>
            <w:vAlign w:val="top"/>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ascii="Times New Roman" w:hAnsi="Times New Roman" w:eastAsia="Times New Roman" w:cs="Times New Roman"/>
                <w:b/>
                <w:bCs/>
                <w:sz w:val="20"/>
                <w:szCs w:val="20"/>
                <w:vertAlign w:val="baseline"/>
                <w:lang w:val="en-US" w:eastAsia="zh-CN" w:bidi="ar-SA"/>
              </w:rPr>
            </w:pPr>
            <w:r>
              <w:rPr>
                <w:rFonts w:hint="eastAsia"/>
                <w:b/>
                <w:bCs/>
                <w:sz w:val="20"/>
                <w:szCs w:val="20"/>
                <w:vertAlign w:val="baseline"/>
                <w:lang w:val="en-US" w:eastAsia="zh-CN"/>
              </w:rPr>
              <w:t>L1/L3 measurement procedure</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21: SA event triggered reporting tests without gap under non-DRX with SSB index reading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continue"/>
            <w:vAlign w:val="top"/>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22: SA event triggered reporting tests without gap under non-DRX with SSB index reading in FR1 for 2Rx UEs]</w:t>
            </w:r>
          </w:p>
        </w:tc>
      </w:tr>
    </w:tbl>
    <w:p>
      <w:pPr>
        <w:pStyle w:val="4"/>
        <w:bidi w:val="0"/>
        <w:rPr>
          <w:rFonts w:hint="default"/>
          <w:lang w:val="en-US" w:eastAsia="zh-CN"/>
        </w:rPr>
      </w:pPr>
      <w:r>
        <w:rPr>
          <w:rFonts w:hint="eastAsia"/>
          <w:lang w:val="en-US" w:eastAsia="zh-CN"/>
        </w:rPr>
        <w:t>2.1.2 Test Configurations</w:t>
      </w:r>
    </w:p>
    <w:p>
      <w:pPr>
        <w:pStyle w:val="5"/>
        <w:bidi w:val="0"/>
        <w:rPr>
          <w:lang w:val="sv-SE"/>
        </w:rPr>
      </w:pPr>
      <w:r>
        <w:rPr>
          <w:rFonts w:hint="eastAsia"/>
          <w:lang w:val="sv-SE"/>
        </w:rPr>
        <w:t>General principle</w:t>
      </w:r>
    </w:p>
    <w:p>
      <w:pPr>
        <w:jc w:val="both"/>
        <w:rPr>
          <w:rFonts w:hint="eastAsia"/>
          <w:lang w:val="en-US" w:eastAsia="zh-CN"/>
        </w:rPr>
      </w:pPr>
      <w:r>
        <w:rPr>
          <w:rFonts w:hint="eastAsia"/>
          <w:lang w:val="en-US" w:eastAsia="zh-CN"/>
        </w:rPr>
        <w:t>When defining the specific test cases for RedCap UEs in NTN scenario, the existing NTN test cases can be used as a baseline. Since many test procedure and parameters defined for NTN can be reused for RedCap UEs in NTN, so we think RAN4 only clarify the procedure and parameters which can be reused from NTN, and then define new parameters applicable to RedCap UEs.</w:t>
      </w:r>
    </w:p>
    <w:p>
      <w:pPr>
        <w:jc w:val="both"/>
        <w:rPr>
          <w:rFonts w:hint="eastAsia"/>
          <w:b/>
          <w:bCs/>
          <w:lang w:val="en-US" w:eastAsia="zh-CN"/>
        </w:rPr>
      </w:pPr>
      <w:r>
        <w:rPr>
          <w:rFonts w:hint="eastAsia"/>
          <w:b/>
          <w:bCs/>
          <w:lang w:val="en-US" w:eastAsia="zh-CN"/>
        </w:rPr>
        <w:t>Proposal 3: The existing NTN test cases can be used as a baseline for RedCap UEs in NTN scenario.</w:t>
      </w:r>
    </w:p>
    <w:p>
      <w:pPr>
        <w:jc w:val="both"/>
        <w:rPr>
          <w:rFonts w:hint="default"/>
          <w:b/>
          <w:bCs/>
          <w:lang w:val="en-US" w:eastAsia="zh-CN"/>
        </w:rPr>
      </w:pPr>
      <w:r>
        <w:rPr>
          <w:rFonts w:hint="eastAsia"/>
          <w:b/>
          <w:bCs/>
          <w:lang w:val="en-US" w:eastAsia="zh-CN"/>
        </w:rPr>
        <w:t>Proposal 4: RAN4 only clarify the procedure and parameters which can be reused from NTN, and then define new parameters applicable to RedCap UEs.</w:t>
      </w:r>
    </w:p>
    <w:p>
      <w:pPr>
        <w:pStyle w:val="5"/>
        <w:bidi w:val="0"/>
        <w:rPr>
          <w:rFonts w:hint="eastAsia"/>
          <w:lang w:val="sv-SE"/>
        </w:rPr>
      </w:pPr>
      <w:r>
        <w:rPr>
          <w:rFonts w:hint="eastAsia"/>
          <w:lang w:val="sv-SE"/>
        </w:rPr>
        <w:t>General test configuration</w:t>
      </w:r>
    </w:p>
    <w:p>
      <w:pPr>
        <w:numPr>
          <w:ilvl w:val="0"/>
          <w:numId w:val="0"/>
        </w:numPr>
        <w:rPr>
          <w:rFonts w:hint="eastAsia"/>
          <w:lang w:val="en-US" w:eastAsia="zh-CN"/>
        </w:rPr>
      </w:pPr>
      <w:r>
        <w:rPr>
          <w:rFonts w:hint="eastAsia"/>
          <w:lang w:val="en-US" w:eastAsia="zh-CN"/>
        </w:rPr>
        <w:t>For general test configuration, since RedCap UEs in NTN scenario will also contain the HD-FDD mode, we shall consider this part in test configuration.</w:t>
      </w:r>
    </w:p>
    <w:p>
      <w:pPr>
        <w:numPr>
          <w:ilvl w:val="0"/>
          <w:numId w:val="0"/>
        </w:numPr>
        <w:rPr>
          <w:rFonts w:hint="eastAsia"/>
          <w:b/>
          <w:bCs/>
          <w:lang w:val="en-US" w:eastAsia="zh-CN"/>
        </w:rPr>
      </w:pPr>
      <w:r>
        <w:rPr>
          <w:rFonts w:hint="eastAsia"/>
          <w:b/>
          <w:bCs/>
          <w:lang w:val="en-US" w:eastAsia="zh-CN"/>
        </w:rPr>
        <w:t>Proposal 5: RAN4 shall consider the following general test configurations as follows:</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Configuration</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1</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CN" w:bidi="ar"/>
              </w:rPr>
              <w:t xml:space="preserve">GSO, NR </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CN" w:bidi="ar"/>
              </w:rPr>
              <w:t>2</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CN" w:bidi="ar"/>
              </w:rPr>
              <w:t xml:space="preserve">NGSO, NR </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eastAsia" w:ascii="Arial" w:hAnsi="Arial" w:eastAsia="Times New Roman" w:cs="Times New Roman"/>
                <w:b/>
                <w:bCs/>
                <w:kern w:val="0"/>
                <w:sz w:val="18"/>
                <w:szCs w:val="20"/>
                <w:lang w:val="en-US" w:eastAsia="zh-CN" w:bidi="ar"/>
              </w:rPr>
              <w:t>3</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default" w:ascii="Arial" w:hAnsi="Arial" w:eastAsia="Times New Roman" w:cs="Times New Roman"/>
                <w:b/>
                <w:bCs/>
                <w:kern w:val="0"/>
                <w:sz w:val="18"/>
                <w:szCs w:val="20"/>
                <w:lang w:val="en-US" w:eastAsia="zh-CN" w:bidi="ar"/>
              </w:rPr>
              <w:t xml:space="preserve">GSO, NR </w:t>
            </w:r>
            <w:r>
              <w:rPr>
                <w:rFonts w:hint="eastAsia" w:ascii="Arial" w:hAnsi="Arial" w:cs="Times New Roman"/>
                <w:b/>
                <w:bCs/>
                <w:kern w:val="0"/>
                <w:sz w:val="18"/>
                <w:szCs w:val="20"/>
                <w:lang w:val="en-US" w:eastAsia="zh-CN" w:bidi="ar"/>
              </w:rPr>
              <w:t>HD-</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eastAsia" w:ascii="Arial" w:hAnsi="Arial" w:eastAsia="Times New Roman" w:cs="Times New Roman"/>
                <w:b/>
                <w:bCs/>
                <w:kern w:val="0"/>
                <w:sz w:val="18"/>
                <w:szCs w:val="20"/>
                <w:lang w:val="en-US" w:eastAsia="zh-CN" w:bidi="ar"/>
              </w:rPr>
              <w:t>4</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default" w:ascii="Arial" w:hAnsi="Arial" w:eastAsia="Times New Roman" w:cs="Times New Roman"/>
                <w:b/>
                <w:bCs/>
                <w:kern w:val="0"/>
                <w:sz w:val="18"/>
                <w:szCs w:val="20"/>
                <w:lang w:val="en-US" w:eastAsia="zh-CN" w:bidi="ar"/>
              </w:rPr>
              <w:t xml:space="preserve">NGSO, NR </w:t>
            </w:r>
            <w:r>
              <w:rPr>
                <w:rFonts w:hint="eastAsia" w:ascii="Arial" w:hAnsi="Arial" w:cs="Times New Roman"/>
                <w:b/>
                <w:bCs/>
                <w:kern w:val="0"/>
                <w:sz w:val="18"/>
                <w:szCs w:val="20"/>
                <w:lang w:val="en-US" w:eastAsia="zh-CN" w:bidi="ar"/>
              </w:rPr>
              <w:t>HD-</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97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4" w:lineRule="auto"/>
              <w:ind w:left="851" w:right="0" w:hanging="851"/>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TW" w:bidi="ar"/>
              </w:rPr>
              <w:t>NOTE:</w:t>
            </w:r>
            <w:r>
              <w:rPr>
                <w:rFonts w:hint="default" w:ascii="Arial" w:hAnsi="Arial" w:eastAsia="Times New Roman" w:cs="Times New Roman"/>
                <w:b/>
                <w:bCs/>
                <w:kern w:val="0"/>
                <w:sz w:val="18"/>
                <w:szCs w:val="20"/>
                <w:lang w:val="en-US" w:eastAsia="ko" w:bidi="ar"/>
              </w:rPr>
              <w:tab/>
            </w:r>
            <w:r>
              <w:rPr>
                <w:rFonts w:hint="default" w:ascii="Arial" w:hAnsi="Arial" w:eastAsia="Times New Roman" w:cs="Times New Roman"/>
                <w:b/>
                <w:bCs/>
                <w:kern w:val="0"/>
                <w:sz w:val="18"/>
                <w:szCs w:val="20"/>
                <w:lang w:val="en-US" w:eastAsia="zh-TW" w:bidi="ar"/>
              </w:rPr>
              <w:t xml:space="preserve">The UE is only required to </w:t>
            </w:r>
            <w:r>
              <w:rPr>
                <w:rFonts w:hint="default" w:ascii="Arial" w:hAnsi="Arial" w:eastAsia="Times New Roman" w:cs="Times New Roman"/>
                <w:b/>
                <w:bCs/>
                <w:kern w:val="0"/>
                <w:sz w:val="18"/>
                <w:szCs w:val="20"/>
                <w:lang w:val="en-US" w:eastAsia="zh-CN" w:bidi="ar"/>
              </w:rPr>
              <w:t>be tested</w:t>
            </w:r>
            <w:r>
              <w:rPr>
                <w:rFonts w:hint="default" w:ascii="Arial" w:hAnsi="Arial" w:eastAsia="Times New Roman" w:cs="Times New Roman"/>
                <w:b/>
                <w:bCs/>
                <w:kern w:val="0"/>
                <w:sz w:val="18"/>
                <w:szCs w:val="20"/>
                <w:lang w:val="en-US" w:eastAsia="zh-TW" w:bidi="ar"/>
              </w:rPr>
              <w:t xml:space="preserve"> in one of the supported test configurations </w:t>
            </w:r>
          </w:p>
        </w:tc>
      </w:tr>
    </w:tbl>
    <w:p>
      <w:pPr>
        <w:numPr>
          <w:ilvl w:val="0"/>
          <w:numId w:val="0"/>
        </w:numPr>
        <w:rPr>
          <w:rFonts w:hint="default"/>
          <w:lang w:val="en-US" w:eastAsia="zh-CN"/>
        </w:rPr>
      </w:pPr>
    </w:p>
    <w:p>
      <w:pPr>
        <w:pStyle w:val="78"/>
        <w:numPr>
          <w:ilvl w:val="1"/>
          <w:numId w:val="0"/>
        </w:numPr>
        <w:bidi w:val="0"/>
        <w:ind w:leftChars="0"/>
        <w:rPr>
          <w:rFonts w:hint="default"/>
          <w:lang w:val="en-US" w:eastAsia="zh-CN"/>
        </w:rPr>
      </w:pPr>
      <w:r>
        <w:rPr>
          <w:rFonts w:hint="eastAsia"/>
          <w:lang w:val="en-US" w:eastAsia="zh-CN"/>
        </w:rPr>
        <w:t>2.2 Downlink coverage enhancement</w:t>
      </w:r>
    </w:p>
    <w:p>
      <w:pPr>
        <w:rPr>
          <w:rFonts w:hint="default"/>
          <w:lang w:val="en-US" w:eastAsia="zh-CN"/>
        </w:rPr>
      </w:pPr>
      <w:r>
        <w:rPr>
          <w:rFonts w:hint="eastAsia"/>
          <w:lang w:val="en-US" w:eastAsia="zh-CN"/>
        </w:rPr>
        <w:t xml:space="preserve">In previous meetings, we have spent lots of time on discussing core requirements on downlink coverage enhancement. To our understanding, the core requirements are quite stable so far and the performance requirements can be discussed in this meeting. </w:t>
      </w:r>
    </w:p>
    <w:p>
      <w:pPr>
        <w:rPr>
          <w:rFonts w:hint="eastAsia"/>
          <w:lang w:val="en-US" w:eastAsia="zh-CN"/>
        </w:rPr>
      </w:pPr>
      <w:r>
        <w:rPr>
          <w:rFonts w:hint="eastAsia"/>
          <w:lang w:val="en-US" w:eastAsia="zh-CN"/>
        </w:rPr>
        <w:t>For downlink coverage enhancement, according to previous agreements discussed in core part, some new test cases will be added in the existing NTN test cases, which will also be defined in Clause A.14.</w:t>
      </w:r>
    </w:p>
    <w:p>
      <w:pPr>
        <w:rPr>
          <w:rFonts w:hint="eastAsia"/>
          <w:b/>
          <w:bCs/>
          <w:lang w:val="en-US" w:eastAsia="zh-CN"/>
        </w:rPr>
      </w:pPr>
      <w:r>
        <w:rPr>
          <w:rFonts w:hint="eastAsia"/>
          <w:b/>
          <w:bCs/>
          <w:lang w:val="en-US" w:eastAsia="zh-CN"/>
        </w:rPr>
        <w:t>Proposal 6: For downlink coverage enhancement, some new test cases will be added in the existing NTN test cases, which will also be defined in Clause A.14.</w:t>
      </w:r>
    </w:p>
    <w:p>
      <w:pPr>
        <w:rPr>
          <w:rFonts w:hint="eastAsia"/>
          <w:lang w:val="en-US" w:eastAsia="zh-CN"/>
        </w:rPr>
      </w:pPr>
      <w:r>
        <w:rPr>
          <w:rFonts w:hint="eastAsia"/>
          <w:lang w:val="en-US" w:eastAsia="zh-CN"/>
        </w:rPr>
        <w:t>In core part discussion, only the following requirements are under discussion: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RRC Re-establishment</w:t>
            </w:r>
          </w:p>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RRC Connection release with redirection to NR</w:t>
            </w:r>
          </w:p>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HO</w:t>
            </w:r>
          </w:p>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CHO</w:t>
            </w:r>
          </w:p>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Satellite switch with re-sync</w:t>
            </w:r>
          </w:p>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Cell re-selection</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RRC connection release with redirection to NR, handover, satellite switch with re-sync and cell re-selection, we observe that the existing requirements are not changed. Thus, we deem that the current test cases can be reused for these cases.</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Proposal 7: For RRC connection release with redirection to NR, handover, satellite switch with re-sync and cell re-selection, no new test cases shall be defined.</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lang w:val="en-US" w:eastAsia="zh-CN"/>
        </w:rPr>
      </w:pPr>
      <w:r>
        <w:rPr>
          <w:rFonts w:hint="eastAsia"/>
          <w:lang w:val="en-US" w:eastAsia="zh-CN"/>
        </w:rPr>
        <w:t>For RRC Re-establishment, the new core requirements are defined in the last meeting. Thus, we think the new test case shall be considered for RRC re-establishment requirements.</w:t>
      </w:r>
    </w:p>
    <w:p>
      <w:pPr>
        <w:rPr>
          <w:rFonts w:hint="default"/>
          <w:lang w:val="en-US" w:eastAsia="zh-CN"/>
        </w:rPr>
      </w:pPr>
      <w:r>
        <w:rPr>
          <w:rFonts w:hint="eastAsia"/>
          <w:b/>
          <w:bCs/>
          <w:lang w:val="en-US" w:eastAsia="zh-CN"/>
        </w:rPr>
        <w:t>Proposal 8: For RRC Re-establishment, the new test case shall be considered.</w:t>
      </w:r>
    </w:p>
    <w:p>
      <w:pPr>
        <w:pStyle w:val="76"/>
        <w:rPr>
          <w:lang w:val="en-US"/>
        </w:rPr>
      </w:pPr>
      <w:r>
        <w:rPr>
          <w:lang w:val="en-US"/>
        </w:rPr>
        <w:t>Conclusion</w:t>
      </w:r>
    </w:p>
    <w:p>
      <w:pPr>
        <w:spacing w:before="120" w:after="120"/>
        <w:rPr>
          <w:rFonts w:hint="default"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rPr>
          <w:rFonts w:hint="eastAsia"/>
          <w:b/>
          <w:bCs/>
          <w:lang w:val="en-US" w:eastAsia="zh-CN"/>
        </w:rPr>
      </w:pPr>
      <w:r>
        <w:rPr>
          <w:rFonts w:hint="eastAsia"/>
          <w:b/>
          <w:bCs/>
          <w:lang w:val="en-US" w:eastAsia="zh-CN"/>
        </w:rPr>
        <w:t>Proposal 1: For RedCap UEs in NTN scenario, some new test cases will be added in the existing NTN test cases, which will also be defined in Clause A.14.</w:t>
      </w:r>
    </w:p>
    <w:p>
      <w:pPr>
        <w:rPr>
          <w:rFonts w:hint="eastAsia"/>
          <w:b/>
          <w:bCs/>
          <w:lang w:val="en-US" w:eastAsia="zh-CN"/>
        </w:rPr>
      </w:pPr>
      <w:r>
        <w:rPr>
          <w:rFonts w:hint="eastAsia"/>
          <w:b/>
          <w:bCs/>
          <w:lang w:val="en-US" w:eastAsia="zh-CN"/>
        </w:rPr>
        <w:t>Proposal 2: RAN4 shall define the following test cases for redcap UEs in NTN scenario:</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Cell Re-selection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 Cell re-selection to FR1 intra-frequency NR cell for UE configured with the feature for enhanced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 Cell re-selection to FR1 intra-frequency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3: Cell re-selection to FR1 inter-frequency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Handover</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 xml:space="preserve">TC 4: Intra-frequency SAN RACH-less handover from FR1-FR1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5: Intra-frequency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6: Inter-frequency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CHO</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7: Intra-frequency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8: Inter-frequency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9: Intra-frequency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10: Inter-frequency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Satellite switching</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 xml:space="preserve">TC 11: RACH-based hard satellite switching with re-sync from FR1 to FR1 for 1Rx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12: RACH-less soft satellite switching with re-sync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 xml:space="preserve">RRC </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Re-establishment</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13: Intra-frequency RRC Re-establishment in FR1 for 1Rx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14: Intra-frequency RRC Re-establishment in FR1 for 2Rx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RRC Connection</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Release with redirection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15: Redirection from NR in FR1 to NR in 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16: Redirection from NR in FR1 to NR in FR1 for 2Rx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eastAsia="宋体"/>
                <w:b/>
                <w:bCs/>
                <w:sz w:val="20"/>
                <w:szCs w:val="20"/>
                <w:lang w:val="en-US" w:eastAsia="zh-CN"/>
              </w:rPr>
            </w:pPr>
            <w:r>
              <w:rPr>
                <w:rFonts w:hint="eastAsia" w:eastAsia="宋体"/>
                <w:b/>
                <w:bCs/>
                <w:sz w:val="20"/>
                <w:szCs w:val="20"/>
                <w:lang w:val="en-US" w:eastAsia="zh-CN"/>
              </w:rPr>
              <w:t>Random Access</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17: 4-step RA type CBRA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18: 4-step RA type CFRA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RLM/BFD/CBD</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19: Intra-frequency RLM/BFD/CBD SSB-based measurement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20: Intra-frequency RLM/BFD/CBD SSB-based measurement in FR1 for 2Rx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restart"/>
            <w:vAlign w:val="top"/>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ascii="Times New Roman" w:hAnsi="Times New Roman" w:eastAsia="Times New Roman" w:cs="Times New Roman"/>
                <w:b/>
                <w:bCs/>
                <w:sz w:val="20"/>
                <w:szCs w:val="20"/>
                <w:vertAlign w:val="baseline"/>
                <w:lang w:val="en-US" w:eastAsia="zh-CN" w:bidi="ar-SA"/>
              </w:rPr>
            </w:pPr>
            <w:r>
              <w:rPr>
                <w:rFonts w:hint="eastAsia"/>
                <w:b/>
                <w:bCs/>
                <w:sz w:val="20"/>
                <w:szCs w:val="20"/>
                <w:vertAlign w:val="baseline"/>
                <w:lang w:val="en-US" w:eastAsia="zh-CN"/>
              </w:rPr>
              <w:t>L1/L3 measurement procedure</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21: SA event triggered reporting tests without gap under non-DRX with SSB index reading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continue"/>
            <w:vAlign w:val="top"/>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22: SA event triggered reporting tests without gap under non-DRX with SSB index reading in FR1 for 2Rx UEs]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Proposal 3: The existing NTN test cases can be used as a baseline for RedCap UEs in NTN scenario.</w:t>
      </w:r>
    </w:p>
    <w:p>
      <w:pPr>
        <w:jc w:val="both"/>
        <w:rPr>
          <w:rFonts w:hint="default"/>
          <w:b/>
          <w:bCs/>
          <w:lang w:val="en-US" w:eastAsia="zh-CN"/>
        </w:rPr>
      </w:pPr>
      <w:r>
        <w:rPr>
          <w:rFonts w:hint="eastAsia"/>
          <w:b/>
          <w:bCs/>
          <w:lang w:val="en-US" w:eastAsia="zh-CN"/>
        </w:rPr>
        <w:t>Proposal 4: RAN4 only clarify the procedure and parameters which can be reused from NTN, and then define new parameters applicable to RedCap UEs.</w:t>
      </w:r>
    </w:p>
    <w:p>
      <w:pPr>
        <w:numPr>
          <w:ilvl w:val="0"/>
          <w:numId w:val="0"/>
        </w:numPr>
        <w:rPr>
          <w:rFonts w:hint="eastAsia"/>
          <w:b/>
          <w:bCs/>
          <w:lang w:val="en-US" w:eastAsia="zh-CN"/>
        </w:rPr>
      </w:pPr>
      <w:r>
        <w:rPr>
          <w:rFonts w:hint="eastAsia"/>
          <w:b/>
          <w:bCs/>
          <w:lang w:val="en-US" w:eastAsia="zh-CN"/>
        </w:rPr>
        <w:t>Proposal 5: RAN4 shall consider the following general test configurations as follows:</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Configuration</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1</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CN" w:bidi="ar"/>
              </w:rPr>
              <w:t xml:space="preserve">GSO, NR </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CN" w:bidi="ar"/>
              </w:rPr>
              <w:t>2</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CN" w:bidi="ar"/>
              </w:rPr>
              <w:t xml:space="preserve">NGSO, NR </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eastAsia" w:ascii="Arial" w:hAnsi="Arial" w:eastAsia="Times New Roman" w:cs="Times New Roman"/>
                <w:b/>
                <w:bCs/>
                <w:kern w:val="0"/>
                <w:sz w:val="18"/>
                <w:szCs w:val="20"/>
                <w:lang w:val="en-US" w:eastAsia="zh-CN" w:bidi="ar"/>
              </w:rPr>
              <w:t>3</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default" w:ascii="Arial" w:hAnsi="Arial" w:eastAsia="Times New Roman" w:cs="Times New Roman"/>
                <w:b/>
                <w:bCs/>
                <w:kern w:val="0"/>
                <w:sz w:val="18"/>
                <w:szCs w:val="20"/>
                <w:lang w:val="en-US" w:eastAsia="zh-CN" w:bidi="ar"/>
              </w:rPr>
              <w:t xml:space="preserve">GSO, NR </w:t>
            </w:r>
            <w:r>
              <w:rPr>
                <w:rFonts w:hint="eastAsia" w:ascii="Arial" w:hAnsi="Arial" w:cs="Times New Roman"/>
                <w:b/>
                <w:bCs/>
                <w:kern w:val="0"/>
                <w:sz w:val="18"/>
                <w:szCs w:val="20"/>
                <w:lang w:val="en-US" w:eastAsia="zh-CN" w:bidi="ar"/>
              </w:rPr>
              <w:t>HD-</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eastAsia" w:ascii="Arial" w:hAnsi="Arial" w:eastAsia="Times New Roman" w:cs="Times New Roman"/>
                <w:b/>
                <w:bCs/>
                <w:kern w:val="0"/>
                <w:sz w:val="18"/>
                <w:szCs w:val="20"/>
                <w:lang w:val="en-US" w:eastAsia="zh-CN" w:bidi="ar"/>
              </w:rPr>
              <w:t>4</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default" w:ascii="Arial" w:hAnsi="Arial" w:eastAsia="Times New Roman" w:cs="Times New Roman"/>
                <w:b/>
                <w:bCs/>
                <w:kern w:val="0"/>
                <w:sz w:val="18"/>
                <w:szCs w:val="20"/>
                <w:lang w:val="en-US" w:eastAsia="zh-CN" w:bidi="ar"/>
              </w:rPr>
              <w:t xml:space="preserve">NGSO, NR </w:t>
            </w:r>
            <w:r>
              <w:rPr>
                <w:rFonts w:hint="eastAsia" w:ascii="Arial" w:hAnsi="Arial" w:cs="Times New Roman"/>
                <w:b/>
                <w:bCs/>
                <w:kern w:val="0"/>
                <w:sz w:val="18"/>
                <w:szCs w:val="20"/>
                <w:lang w:val="en-US" w:eastAsia="zh-CN" w:bidi="ar"/>
              </w:rPr>
              <w:t>HD-</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97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4" w:lineRule="auto"/>
              <w:ind w:left="851" w:right="0" w:hanging="851"/>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TW" w:bidi="ar"/>
              </w:rPr>
              <w:t>NOTE:</w:t>
            </w:r>
            <w:r>
              <w:rPr>
                <w:rFonts w:hint="default" w:ascii="Arial" w:hAnsi="Arial" w:eastAsia="Times New Roman" w:cs="Times New Roman"/>
                <w:b/>
                <w:bCs/>
                <w:kern w:val="0"/>
                <w:sz w:val="18"/>
                <w:szCs w:val="20"/>
                <w:lang w:val="en-US" w:eastAsia="ko" w:bidi="ar"/>
              </w:rPr>
              <w:tab/>
            </w:r>
            <w:r>
              <w:rPr>
                <w:rFonts w:hint="default" w:ascii="Arial" w:hAnsi="Arial" w:eastAsia="Times New Roman" w:cs="Times New Roman"/>
                <w:b/>
                <w:bCs/>
                <w:kern w:val="0"/>
                <w:sz w:val="18"/>
                <w:szCs w:val="20"/>
                <w:lang w:val="en-US" w:eastAsia="zh-TW" w:bidi="ar"/>
              </w:rPr>
              <w:t xml:space="preserve">The UE is only required to </w:t>
            </w:r>
            <w:r>
              <w:rPr>
                <w:rFonts w:hint="default" w:ascii="Arial" w:hAnsi="Arial" w:eastAsia="Times New Roman" w:cs="Times New Roman"/>
                <w:b/>
                <w:bCs/>
                <w:kern w:val="0"/>
                <w:sz w:val="18"/>
                <w:szCs w:val="20"/>
                <w:lang w:val="en-US" w:eastAsia="zh-CN" w:bidi="ar"/>
              </w:rPr>
              <w:t>be tested</w:t>
            </w:r>
            <w:r>
              <w:rPr>
                <w:rFonts w:hint="default" w:ascii="Arial" w:hAnsi="Arial" w:eastAsia="Times New Roman" w:cs="Times New Roman"/>
                <w:b/>
                <w:bCs/>
                <w:kern w:val="0"/>
                <w:sz w:val="18"/>
                <w:szCs w:val="20"/>
                <w:lang w:val="en-US" w:eastAsia="zh-TW" w:bidi="ar"/>
              </w:rPr>
              <w:t xml:space="preserve"> in one of the supported test configurations </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Proposal 6: For downlink coverage enhancement, some new test cases will be added in the existing NTN test cases, which will also be defined in Clause A.14.</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Proposal 7: For RRC connection release with redirection to NR, handover, satellite switch with re-sync and cell re-selection, no new test cases shall be defined.</w:t>
      </w:r>
    </w:p>
    <w:p>
      <w:pPr>
        <w:rPr>
          <w:rFonts w:eastAsia="宋体"/>
          <w:lang w:eastAsia="zh-CN"/>
        </w:rPr>
      </w:pPr>
      <w:r>
        <w:rPr>
          <w:rFonts w:hint="eastAsia"/>
          <w:b/>
          <w:bCs/>
          <w:lang w:val="en-US" w:eastAsia="zh-CN"/>
        </w:rPr>
        <w:t>Proposal 8: For RRC Re-establishment, the new test case shall be considered.</w:t>
      </w: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5"/>
        </w:numPr>
        <w:rPr>
          <w:rFonts w:hint="eastAsia"/>
          <w:lang w:val="en-US" w:eastAsia="zh-CN"/>
        </w:rPr>
      </w:pPr>
      <w:bookmarkStart w:id="4" w:name="_Ref114500673"/>
      <w:bookmarkEnd w:id="4"/>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5"/>
        </w:numPr>
        <w:rPr>
          <w:rFonts w:hint="default"/>
          <w:lang w:val="en-US" w:eastAsia="zh-CN"/>
        </w:rPr>
      </w:pPr>
      <w:r>
        <w:rPr>
          <w:rFonts w:hint="eastAsia"/>
          <w:lang w:val="en-US" w:eastAsia="zh-CN"/>
        </w:rPr>
        <w:t>TS38.133 Clause A.14</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auto"/>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9AD25"/>
    <w:multiLevelType w:val="singleLevel"/>
    <w:tmpl w:val="A4B9AD25"/>
    <w:lvl w:ilvl="0" w:tentative="0">
      <w:start w:val="1"/>
      <w:numFmt w:val="decimal"/>
      <w:suff w:val="space"/>
      <w:lvlText w:val="%1."/>
      <w:lvlJc w:val="left"/>
    </w:lvl>
  </w:abstractNum>
  <w:abstractNum w:abstractNumId="1">
    <w:nsid w:val="BF5718AD"/>
    <w:multiLevelType w:val="singleLevel"/>
    <w:tmpl w:val="BF5718AD"/>
    <w:lvl w:ilvl="0" w:tentative="0">
      <w:start w:val="1"/>
      <w:numFmt w:val="decimal"/>
      <w:suff w:val="space"/>
      <w:lvlText w:val="[%1]"/>
      <w:lvlJc w:val="left"/>
    </w:lvl>
  </w:abstractNum>
  <w:abstractNum w:abstractNumId="2">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5740C"/>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28C6"/>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410DC2"/>
    <w:rsid w:val="0150766E"/>
    <w:rsid w:val="01536085"/>
    <w:rsid w:val="0158163D"/>
    <w:rsid w:val="01652E48"/>
    <w:rsid w:val="01862D0E"/>
    <w:rsid w:val="018F1743"/>
    <w:rsid w:val="018F25C8"/>
    <w:rsid w:val="01906A5B"/>
    <w:rsid w:val="01907C39"/>
    <w:rsid w:val="019F41BD"/>
    <w:rsid w:val="01CE0603"/>
    <w:rsid w:val="01D51FE8"/>
    <w:rsid w:val="01E70C97"/>
    <w:rsid w:val="01EA15CF"/>
    <w:rsid w:val="01FA50F5"/>
    <w:rsid w:val="020D7303"/>
    <w:rsid w:val="021951FF"/>
    <w:rsid w:val="023A59BC"/>
    <w:rsid w:val="02402E7C"/>
    <w:rsid w:val="02505886"/>
    <w:rsid w:val="025A5C68"/>
    <w:rsid w:val="027C74A2"/>
    <w:rsid w:val="029011A2"/>
    <w:rsid w:val="02A03627"/>
    <w:rsid w:val="02A23DA7"/>
    <w:rsid w:val="02B510FE"/>
    <w:rsid w:val="02B66382"/>
    <w:rsid w:val="02CF1678"/>
    <w:rsid w:val="02D45932"/>
    <w:rsid w:val="02DB4554"/>
    <w:rsid w:val="02DD1CD4"/>
    <w:rsid w:val="02DF0D66"/>
    <w:rsid w:val="02EC4357"/>
    <w:rsid w:val="02EE768C"/>
    <w:rsid w:val="02FA1082"/>
    <w:rsid w:val="03056000"/>
    <w:rsid w:val="031778E0"/>
    <w:rsid w:val="0327096F"/>
    <w:rsid w:val="032737B0"/>
    <w:rsid w:val="032A315A"/>
    <w:rsid w:val="03327ECA"/>
    <w:rsid w:val="034339E7"/>
    <w:rsid w:val="03481CC2"/>
    <w:rsid w:val="034E044D"/>
    <w:rsid w:val="034E163D"/>
    <w:rsid w:val="034F02E2"/>
    <w:rsid w:val="03572405"/>
    <w:rsid w:val="037709BE"/>
    <w:rsid w:val="037A1943"/>
    <w:rsid w:val="03B04920"/>
    <w:rsid w:val="03BF3D9F"/>
    <w:rsid w:val="03BF72E7"/>
    <w:rsid w:val="03C80AD2"/>
    <w:rsid w:val="03C95263"/>
    <w:rsid w:val="03CA7EB2"/>
    <w:rsid w:val="03F0584F"/>
    <w:rsid w:val="03F706F6"/>
    <w:rsid w:val="03FB5627"/>
    <w:rsid w:val="04043AA5"/>
    <w:rsid w:val="04076F95"/>
    <w:rsid w:val="0409766A"/>
    <w:rsid w:val="041D49CF"/>
    <w:rsid w:val="04242812"/>
    <w:rsid w:val="04383CC9"/>
    <w:rsid w:val="04421BA4"/>
    <w:rsid w:val="044B12E0"/>
    <w:rsid w:val="046301A2"/>
    <w:rsid w:val="04662C85"/>
    <w:rsid w:val="04732FB8"/>
    <w:rsid w:val="04871DE8"/>
    <w:rsid w:val="048F6485"/>
    <w:rsid w:val="04A12403"/>
    <w:rsid w:val="04A815F7"/>
    <w:rsid w:val="04AB1CB5"/>
    <w:rsid w:val="04AD06A4"/>
    <w:rsid w:val="04BD1E3A"/>
    <w:rsid w:val="04D5637C"/>
    <w:rsid w:val="04E91598"/>
    <w:rsid w:val="050C7718"/>
    <w:rsid w:val="0510745B"/>
    <w:rsid w:val="05214F03"/>
    <w:rsid w:val="052F7D10"/>
    <w:rsid w:val="054F5218"/>
    <w:rsid w:val="055E02FB"/>
    <w:rsid w:val="05630D81"/>
    <w:rsid w:val="056A3BE2"/>
    <w:rsid w:val="058577F6"/>
    <w:rsid w:val="058C4826"/>
    <w:rsid w:val="05A2135D"/>
    <w:rsid w:val="05AD05DE"/>
    <w:rsid w:val="05AE2916"/>
    <w:rsid w:val="05B1379B"/>
    <w:rsid w:val="05C20597"/>
    <w:rsid w:val="05C6466C"/>
    <w:rsid w:val="05D94925"/>
    <w:rsid w:val="05DB67C3"/>
    <w:rsid w:val="05E60F0C"/>
    <w:rsid w:val="05F02736"/>
    <w:rsid w:val="05F61BB8"/>
    <w:rsid w:val="06026AB1"/>
    <w:rsid w:val="06043605"/>
    <w:rsid w:val="06095400"/>
    <w:rsid w:val="060D0D66"/>
    <w:rsid w:val="061F2E9B"/>
    <w:rsid w:val="062C2061"/>
    <w:rsid w:val="062D43AF"/>
    <w:rsid w:val="062E0FB2"/>
    <w:rsid w:val="06311BAC"/>
    <w:rsid w:val="063743FC"/>
    <w:rsid w:val="06382368"/>
    <w:rsid w:val="06434355"/>
    <w:rsid w:val="06654509"/>
    <w:rsid w:val="06785C08"/>
    <w:rsid w:val="067C67DB"/>
    <w:rsid w:val="067F65D2"/>
    <w:rsid w:val="068158A4"/>
    <w:rsid w:val="06A05FC0"/>
    <w:rsid w:val="06AC5F82"/>
    <w:rsid w:val="06AE1485"/>
    <w:rsid w:val="06E54956"/>
    <w:rsid w:val="07007517"/>
    <w:rsid w:val="07073FA3"/>
    <w:rsid w:val="070F1174"/>
    <w:rsid w:val="072F7FC6"/>
    <w:rsid w:val="0732584E"/>
    <w:rsid w:val="074109F4"/>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81F651B"/>
    <w:rsid w:val="08280CF2"/>
    <w:rsid w:val="0833764C"/>
    <w:rsid w:val="083F5297"/>
    <w:rsid w:val="084677D5"/>
    <w:rsid w:val="0848005E"/>
    <w:rsid w:val="084B1A9E"/>
    <w:rsid w:val="084C657D"/>
    <w:rsid w:val="084D12F0"/>
    <w:rsid w:val="0874372B"/>
    <w:rsid w:val="08756AAB"/>
    <w:rsid w:val="08767256"/>
    <w:rsid w:val="087B6B61"/>
    <w:rsid w:val="087E40F9"/>
    <w:rsid w:val="08916AA8"/>
    <w:rsid w:val="089F664F"/>
    <w:rsid w:val="08A153B1"/>
    <w:rsid w:val="08A203F3"/>
    <w:rsid w:val="08AF00C1"/>
    <w:rsid w:val="08B0664C"/>
    <w:rsid w:val="08B531C0"/>
    <w:rsid w:val="08BB1078"/>
    <w:rsid w:val="08BD1F16"/>
    <w:rsid w:val="08C469E4"/>
    <w:rsid w:val="08D53034"/>
    <w:rsid w:val="08DA28B3"/>
    <w:rsid w:val="08DD2BEF"/>
    <w:rsid w:val="0903652D"/>
    <w:rsid w:val="090556C6"/>
    <w:rsid w:val="09104DCD"/>
    <w:rsid w:val="0913040F"/>
    <w:rsid w:val="094C40B4"/>
    <w:rsid w:val="095B4A62"/>
    <w:rsid w:val="09606948"/>
    <w:rsid w:val="096D7D04"/>
    <w:rsid w:val="096E0D4F"/>
    <w:rsid w:val="09736AE0"/>
    <w:rsid w:val="097766AF"/>
    <w:rsid w:val="099C4684"/>
    <w:rsid w:val="09BB6580"/>
    <w:rsid w:val="09E30E5D"/>
    <w:rsid w:val="09F25D5F"/>
    <w:rsid w:val="0A0E013D"/>
    <w:rsid w:val="0A1131EF"/>
    <w:rsid w:val="0A141797"/>
    <w:rsid w:val="0A143BE1"/>
    <w:rsid w:val="0A1A23D4"/>
    <w:rsid w:val="0A220AAD"/>
    <w:rsid w:val="0A240355"/>
    <w:rsid w:val="0A263E9C"/>
    <w:rsid w:val="0A286DFB"/>
    <w:rsid w:val="0A5002F7"/>
    <w:rsid w:val="0A5164D1"/>
    <w:rsid w:val="0A5C7B97"/>
    <w:rsid w:val="0A5E0EE3"/>
    <w:rsid w:val="0A6C43DE"/>
    <w:rsid w:val="0A9D03F6"/>
    <w:rsid w:val="0AA5439B"/>
    <w:rsid w:val="0ABC02E8"/>
    <w:rsid w:val="0AC16484"/>
    <w:rsid w:val="0ACB2015"/>
    <w:rsid w:val="0AD20D5E"/>
    <w:rsid w:val="0AD555AC"/>
    <w:rsid w:val="0AED24FC"/>
    <w:rsid w:val="0AFB4013"/>
    <w:rsid w:val="0B0F4A80"/>
    <w:rsid w:val="0B1A0653"/>
    <w:rsid w:val="0B1B1997"/>
    <w:rsid w:val="0B24532C"/>
    <w:rsid w:val="0B3F6621"/>
    <w:rsid w:val="0B46021F"/>
    <w:rsid w:val="0B4D2A88"/>
    <w:rsid w:val="0B4E3695"/>
    <w:rsid w:val="0B527B25"/>
    <w:rsid w:val="0B5B4CA4"/>
    <w:rsid w:val="0B5E04B4"/>
    <w:rsid w:val="0B5E0983"/>
    <w:rsid w:val="0B6A4840"/>
    <w:rsid w:val="0B707256"/>
    <w:rsid w:val="0B7129F9"/>
    <w:rsid w:val="0B744B6D"/>
    <w:rsid w:val="0B7A479D"/>
    <w:rsid w:val="0B7E60C9"/>
    <w:rsid w:val="0B8730CC"/>
    <w:rsid w:val="0B927AF3"/>
    <w:rsid w:val="0B997D22"/>
    <w:rsid w:val="0BA069F6"/>
    <w:rsid w:val="0BA238F9"/>
    <w:rsid w:val="0BB6397D"/>
    <w:rsid w:val="0BC97B63"/>
    <w:rsid w:val="0BD644F2"/>
    <w:rsid w:val="0BE05B3D"/>
    <w:rsid w:val="0BEB139D"/>
    <w:rsid w:val="0BEF4F2C"/>
    <w:rsid w:val="0BF03462"/>
    <w:rsid w:val="0BF56721"/>
    <w:rsid w:val="0BF606AD"/>
    <w:rsid w:val="0C1E2E71"/>
    <w:rsid w:val="0C2D4BD9"/>
    <w:rsid w:val="0C466BC5"/>
    <w:rsid w:val="0C5161F8"/>
    <w:rsid w:val="0C52360D"/>
    <w:rsid w:val="0C6B5BA9"/>
    <w:rsid w:val="0C6E60F3"/>
    <w:rsid w:val="0C7C1976"/>
    <w:rsid w:val="0C830617"/>
    <w:rsid w:val="0CA92A55"/>
    <w:rsid w:val="0CAC6DE2"/>
    <w:rsid w:val="0CBA5E3E"/>
    <w:rsid w:val="0CBE6692"/>
    <w:rsid w:val="0CCB3B11"/>
    <w:rsid w:val="0CDE5118"/>
    <w:rsid w:val="0CDE55BC"/>
    <w:rsid w:val="0CDF3914"/>
    <w:rsid w:val="0CE7776D"/>
    <w:rsid w:val="0CEA2CF7"/>
    <w:rsid w:val="0D035130"/>
    <w:rsid w:val="0D205F17"/>
    <w:rsid w:val="0D23336E"/>
    <w:rsid w:val="0D284B82"/>
    <w:rsid w:val="0D2D1208"/>
    <w:rsid w:val="0D3A5239"/>
    <w:rsid w:val="0D3A7039"/>
    <w:rsid w:val="0D4356A8"/>
    <w:rsid w:val="0D654C14"/>
    <w:rsid w:val="0D670E3F"/>
    <w:rsid w:val="0D673E22"/>
    <w:rsid w:val="0D826EB5"/>
    <w:rsid w:val="0D8735F9"/>
    <w:rsid w:val="0D8972A3"/>
    <w:rsid w:val="0D8C24E1"/>
    <w:rsid w:val="0D94436C"/>
    <w:rsid w:val="0D980C13"/>
    <w:rsid w:val="0DB607B8"/>
    <w:rsid w:val="0DC22600"/>
    <w:rsid w:val="0DC51AC4"/>
    <w:rsid w:val="0DC63EF2"/>
    <w:rsid w:val="0DD75C5E"/>
    <w:rsid w:val="0DE9579A"/>
    <w:rsid w:val="0DE969F5"/>
    <w:rsid w:val="0DFF4B13"/>
    <w:rsid w:val="0E0132C0"/>
    <w:rsid w:val="0E041001"/>
    <w:rsid w:val="0E093416"/>
    <w:rsid w:val="0E0C3E0B"/>
    <w:rsid w:val="0E186AE2"/>
    <w:rsid w:val="0E1F1160"/>
    <w:rsid w:val="0E402695"/>
    <w:rsid w:val="0E4F7F50"/>
    <w:rsid w:val="0E5C591E"/>
    <w:rsid w:val="0E6A704C"/>
    <w:rsid w:val="0E6B4543"/>
    <w:rsid w:val="0E777792"/>
    <w:rsid w:val="0E7B1FCA"/>
    <w:rsid w:val="0E835BCE"/>
    <w:rsid w:val="0E880E39"/>
    <w:rsid w:val="0E9D025B"/>
    <w:rsid w:val="0EA8225F"/>
    <w:rsid w:val="0EAF40A4"/>
    <w:rsid w:val="0ECB5A56"/>
    <w:rsid w:val="0ED01837"/>
    <w:rsid w:val="0ED33A29"/>
    <w:rsid w:val="0ED7019B"/>
    <w:rsid w:val="0ED8660B"/>
    <w:rsid w:val="0EE838C1"/>
    <w:rsid w:val="0EF97174"/>
    <w:rsid w:val="0F0F3D45"/>
    <w:rsid w:val="0F110062"/>
    <w:rsid w:val="0F2550AA"/>
    <w:rsid w:val="0F2B36C0"/>
    <w:rsid w:val="0F3A116B"/>
    <w:rsid w:val="0F4920A4"/>
    <w:rsid w:val="0F4942A2"/>
    <w:rsid w:val="0F4A66BD"/>
    <w:rsid w:val="0F511411"/>
    <w:rsid w:val="0F703346"/>
    <w:rsid w:val="0F78156E"/>
    <w:rsid w:val="0F80004E"/>
    <w:rsid w:val="0F871EAB"/>
    <w:rsid w:val="0F9B4A58"/>
    <w:rsid w:val="0F9D3FD2"/>
    <w:rsid w:val="0F9F1528"/>
    <w:rsid w:val="0FA74E3D"/>
    <w:rsid w:val="0FDF5A14"/>
    <w:rsid w:val="0FEA5AC5"/>
    <w:rsid w:val="0FFE2B89"/>
    <w:rsid w:val="0FFF3FF2"/>
    <w:rsid w:val="1008703A"/>
    <w:rsid w:val="10126FBC"/>
    <w:rsid w:val="103809FF"/>
    <w:rsid w:val="106F495E"/>
    <w:rsid w:val="10764104"/>
    <w:rsid w:val="108A5F33"/>
    <w:rsid w:val="108F6F5D"/>
    <w:rsid w:val="1094235B"/>
    <w:rsid w:val="1096068D"/>
    <w:rsid w:val="109F23E5"/>
    <w:rsid w:val="10B951CF"/>
    <w:rsid w:val="10BB3068"/>
    <w:rsid w:val="10CF68EB"/>
    <w:rsid w:val="10D24280"/>
    <w:rsid w:val="10D82C05"/>
    <w:rsid w:val="10E0563D"/>
    <w:rsid w:val="10FC1774"/>
    <w:rsid w:val="10FC7A16"/>
    <w:rsid w:val="110D2C89"/>
    <w:rsid w:val="110E3EB6"/>
    <w:rsid w:val="110F3224"/>
    <w:rsid w:val="11131D94"/>
    <w:rsid w:val="111778A8"/>
    <w:rsid w:val="111E4B32"/>
    <w:rsid w:val="1124277B"/>
    <w:rsid w:val="113B4A52"/>
    <w:rsid w:val="114E27DA"/>
    <w:rsid w:val="114E4423"/>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A456B"/>
    <w:rsid w:val="11E411C4"/>
    <w:rsid w:val="11EE75FC"/>
    <w:rsid w:val="11FA2349"/>
    <w:rsid w:val="11FB7A57"/>
    <w:rsid w:val="120257B2"/>
    <w:rsid w:val="12044AB3"/>
    <w:rsid w:val="120C7685"/>
    <w:rsid w:val="121015B2"/>
    <w:rsid w:val="121421B7"/>
    <w:rsid w:val="12277752"/>
    <w:rsid w:val="12342A01"/>
    <w:rsid w:val="12371472"/>
    <w:rsid w:val="12533BE9"/>
    <w:rsid w:val="12563736"/>
    <w:rsid w:val="126548EE"/>
    <w:rsid w:val="12817181"/>
    <w:rsid w:val="12911818"/>
    <w:rsid w:val="129E41E5"/>
    <w:rsid w:val="12AA4BE9"/>
    <w:rsid w:val="12B1333A"/>
    <w:rsid w:val="12C003F7"/>
    <w:rsid w:val="12C7679B"/>
    <w:rsid w:val="12DD774D"/>
    <w:rsid w:val="12E03D15"/>
    <w:rsid w:val="12E20B88"/>
    <w:rsid w:val="130D494D"/>
    <w:rsid w:val="13202B24"/>
    <w:rsid w:val="13283A05"/>
    <w:rsid w:val="133E4EC4"/>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D29A8"/>
    <w:rsid w:val="13EA5E5F"/>
    <w:rsid w:val="13F74226"/>
    <w:rsid w:val="140329A8"/>
    <w:rsid w:val="14107AE9"/>
    <w:rsid w:val="14143437"/>
    <w:rsid w:val="14157DFD"/>
    <w:rsid w:val="14175E0A"/>
    <w:rsid w:val="141F1BA5"/>
    <w:rsid w:val="142A2204"/>
    <w:rsid w:val="14316CAE"/>
    <w:rsid w:val="144E7AE0"/>
    <w:rsid w:val="14503CE0"/>
    <w:rsid w:val="1452019E"/>
    <w:rsid w:val="145E5A4D"/>
    <w:rsid w:val="146A0DEA"/>
    <w:rsid w:val="1472255F"/>
    <w:rsid w:val="14782396"/>
    <w:rsid w:val="148942E3"/>
    <w:rsid w:val="148B031E"/>
    <w:rsid w:val="149A0E94"/>
    <w:rsid w:val="14AC25B0"/>
    <w:rsid w:val="14AE0BED"/>
    <w:rsid w:val="14AF303C"/>
    <w:rsid w:val="14BE1377"/>
    <w:rsid w:val="14BE55AD"/>
    <w:rsid w:val="14DB2D92"/>
    <w:rsid w:val="14E52CFF"/>
    <w:rsid w:val="14F90946"/>
    <w:rsid w:val="15010F20"/>
    <w:rsid w:val="1502113A"/>
    <w:rsid w:val="151308D4"/>
    <w:rsid w:val="15281376"/>
    <w:rsid w:val="152A4DE4"/>
    <w:rsid w:val="153A74E0"/>
    <w:rsid w:val="15422545"/>
    <w:rsid w:val="15515573"/>
    <w:rsid w:val="156508EF"/>
    <w:rsid w:val="15693006"/>
    <w:rsid w:val="156C0A74"/>
    <w:rsid w:val="15716A99"/>
    <w:rsid w:val="157177C3"/>
    <w:rsid w:val="15755788"/>
    <w:rsid w:val="157F2CB1"/>
    <w:rsid w:val="1581047E"/>
    <w:rsid w:val="15895642"/>
    <w:rsid w:val="15991A9A"/>
    <w:rsid w:val="15A444EB"/>
    <w:rsid w:val="15A75916"/>
    <w:rsid w:val="15B0540D"/>
    <w:rsid w:val="15B7532E"/>
    <w:rsid w:val="15C30D5B"/>
    <w:rsid w:val="15C84147"/>
    <w:rsid w:val="15CA017F"/>
    <w:rsid w:val="15D44CB9"/>
    <w:rsid w:val="15D54EC8"/>
    <w:rsid w:val="15D64DE0"/>
    <w:rsid w:val="15D71AD5"/>
    <w:rsid w:val="15DC38C2"/>
    <w:rsid w:val="15F23B4A"/>
    <w:rsid w:val="15FC08F6"/>
    <w:rsid w:val="15FF5FA5"/>
    <w:rsid w:val="160339FE"/>
    <w:rsid w:val="16385E17"/>
    <w:rsid w:val="1646133C"/>
    <w:rsid w:val="16535A2F"/>
    <w:rsid w:val="165931D9"/>
    <w:rsid w:val="16682D3E"/>
    <w:rsid w:val="167046E9"/>
    <w:rsid w:val="167539E5"/>
    <w:rsid w:val="1679566E"/>
    <w:rsid w:val="167A58EE"/>
    <w:rsid w:val="167E382D"/>
    <w:rsid w:val="16A21031"/>
    <w:rsid w:val="16B64EC9"/>
    <w:rsid w:val="16C14D16"/>
    <w:rsid w:val="16C8771D"/>
    <w:rsid w:val="16DC0535"/>
    <w:rsid w:val="16F31A11"/>
    <w:rsid w:val="16FA20DA"/>
    <w:rsid w:val="17045852"/>
    <w:rsid w:val="17060D55"/>
    <w:rsid w:val="170716B6"/>
    <w:rsid w:val="170F5DE2"/>
    <w:rsid w:val="17152764"/>
    <w:rsid w:val="171C2EF9"/>
    <w:rsid w:val="17203431"/>
    <w:rsid w:val="172C56B5"/>
    <w:rsid w:val="174151DE"/>
    <w:rsid w:val="1748083E"/>
    <w:rsid w:val="17553F9F"/>
    <w:rsid w:val="175623CE"/>
    <w:rsid w:val="175D0E4A"/>
    <w:rsid w:val="175E2809"/>
    <w:rsid w:val="176538DA"/>
    <w:rsid w:val="17787D90"/>
    <w:rsid w:val="1794775D"/>
    <w:rsid w:val="17B11330"/>
    <w:rsid w:val="17B51CC9"/>
    <w:rsid w:val="17C376AD"/>
    <w:rsid w:val="17CB4905"/>
    <w:rsid w:val="17D01F3A"/>
    <w:rsid w:val="17DC7DAF"/>
    <w:rsid w:val="17DF40F7"/>
    <w:rsid w:val="17E45462"/>
    <w:rsid w:val="180E4FC5"/>
    <w:rsid w:val="18171331"/>
    <w:rsid w:val="181F3A21"/>
    <w:rsid w:val="18396192"/>
    <w:rsid w:val="184A4BE3"/>
    <w:rsid w:val="18500258"/>
    <w:rsid w:val="185060EC"/>
    <w:rsid w:val="18543427"/>
    <w:rsid w:val="18545FAF"/>
    <w:rsid w:val="185A42FA"/>
    <w:rsid w:val="18870C54"/>
    <w:rsid w:val="189D2207"/>
    <w:rsid w:val="18A45C40"/>
    <w:rsid w:val="18AD6B08"/>
    <w:rsid w:val="18D11C84"/>
    <w:rsid w:val="18D57338"/>
    <w:rsid w:val="18E96032"/>
    <w:rsid w:val="18EE62E8"/>
    <w:rsid w:val="18F96461"/>
    <w:rsid w:val="18FF308F"/>
    <w:rsid w:val="19094BBF"/>
    <w:rsid w:val="19116F8E"/>
    <w:rsid w:val="194E6691"/>
    <w:rsid w:val="19551A74"/>
    <w:rsid w:val="195942F0"/>
    <w:rsid w:val="195F7D63"/>
    <w:rsid w:val="196A5FC1"/>
    <w:rsid w:val="196B18E4"/>
    <w:rsid w:val="197A625B"/>
    <w:rsid w:val="197C2433"/>
    <w:rsid w:val="19933139"/>
    <w:rsid w:val="19A370D2"/>
    <w:rsid w:val="19AC4F46"/>
    <w:rsid w:val="19BD7FCA"/>
    <w:rsid w:val="19C83DDC"/>
    <w:rsid w:val="19D05965"/>
    <w:rsid w:val="19D33619"/>
    <w:rsid w:val="19D57461"/>
    <w:rsid w:val="19E5590B"/>
    <w:rsid w:val="19E74602"/>
    <w:rsid w:val="19EE7D0B"/>
    <w:rsid w:val="19FC493F"/>
    <w:rsid w:val="1A077D86"/>
    <w:rsid w:val="1A085685"/>
    <w:rsid w:val="1A191F3E"/>
    <w:rsid w:val="1A237B53"/>
    <w:rsid w:val="1A342071"/>
    <w:rsid w:val="1A477B50"/>
    <w:rsid w:val="1A5163D6"/>
    <w:rsid w:val="1A54768F"/>
    <w:rsid w:val="1A577E28"/>
    <w:rsid w:val="1A5A669E"/>
    <w:rsid w:val="1A796C32"/>
    <w:rsid w:val="1A9B6333"/>
    <w:rsid w:val="1AA11028"/>
    <w:rsid w:val="1AB623A5"/>
    <w:rsid w:val="1AB9028C"/>
    <w:rsid w:val="1AB91166"/>
    <w:rsid w:val="1ABD699B"/>
    <w:rsid w:val="1AC56317"/>
    <w:rsid w:val="1AD6319E"/>
    <w:rsid w:val="1AE47B80"/>
    <w:rsid w:val="1AF9310D"/>
    <w:rsid w:val="1B176C50"/>
    <w:rsid w:val="1B4A6F7F"/>
    <w:rsid w:val="1B4B651F"/>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BF61DFA"/>
    <w:rsid w:val="1BFD09CC"/>
    <w:rsid w:val="1C1D36F1"/>
    <w:rsid w:val="1C1F1D32"/>
    <w:rsid w:val="1C200EAE"/>
    <w:rsid w:val="1C291BAA"/>
    <w:rsid w:val="1C386892"/>
    <w:rsid w:val="1C3A035E"/>
    <w:rsid w:val="1C4A2683"/>
    <w:rsid w:val="1C5F292D"/>
    <w:rsid w:val="1C5F3B2B"/>
    <w:rsid w:val="1C631E26"/>
    <w:rsid w:val="1C7530BF"/>
    <w:rsid w:val="1C8361D3"/>
    <w:rsid w:val="1C8800DD"/>
    <w:rsid w:val="1C933922"/>
    <w:rsid w:val="1C954E9B"/>
    <w:rsid w:val="1CBB1BB0"/>
    <w:rsid w:val="1CBC5611"/>
    <w:rsid w:val="1CBF6038"/>
    <w:rsid w:val="1CCB7770"/>
    <w:rsid w:val="1CD22EF6"/>
    <w:rsid w:val="1CD7177C"/>
    <w:rsid w:val="1CF005FD"/>
    <w:rsid w:val="1CF6531E"/>
    <w:rsid w:val="1CF73467"/>
    <w:rsid w:val="1D0B195E"/>
    <w:rsid w:val="1D1B606C"/>
    <w:rsid w:val="1D3569E0"/>
    <w:rsid w:val="1D3570D5"/>
    <w:rsid w:val="1D4E0EB2"/>
    <w:rsid w:val="1D607992"/>
    <w:rsid w:val="1D693FA7"/>
    <w:rsid w:val="1D8F4E65"/>
    <w:rsid w:val="1D9C0F42"/>
    <w:rsid w:val="1DA063BF"/>
    <w:rsid w:val="1DAE7EBF"/>
    <w:rsid w:val="1DB41D7B"/>
    <w:rsid w:val="1DB553DF"/>
    <w:rsid w:val="1DBF1882"/>
    <w:rsid w:val="1DC84414"/>
    <w:rsid w:val="1DCA3F6C"/>
    <w:rsid w:val="1DDB7A8A"/>
    <w:rsid w:val="1DE24E96"/>
    <w:rsid w:val="1DF17BE1"/>
    <w:rsid w:val="1DF91071"/>
    <w:rsid w:val="1E004D92"/>
    <w:rsid w:val="1E167557"/>
    <w:rsid w:val="1E302A17"/>
    <w:rsid w:val="1E4719A3"/>
    <w:rsid w:val="1E551952"/>
    <w:rsid w:val="1E5F1F97"/>
    <w:rsid w:val="1E6C5F4E"/>
    <w:rsid w:val="1E6E14B9"/>
    <w:rsid w:val="1E755015"/>
    <w:rsid w:val="1EA42272"/>
    <w:rsid w:val="1EA65561"/>
    <w:rsid w:val="1EAD4127"/>
    <w:rsid w:val="1EB70BD9"/>
    <w:rsid w:val="1EB8797A"/>
    <w:rsid w:val="1EE142F9"/>
    <w:rsid w:val="1EEC719E"/>
    <w:rsid w:val="1EEE2F09"/>
    <w:rsid w:val="1EF7018A"/>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774357"/>
    <w:rsid w:val="1F7D4C37"/>
    <w:rsid w:val="1F85321F"/>
    <w:rsid w:val="1FA93A51"/>
    <w:rsid w:val="1FB80942"/>
    <w:rsid w:val="1FBB5482"/>
    <w:rsid w:val="1FC97C15"/>
    <w:rsid w:val="1FCE373D"/>
    <w:rsid w:val="1FF4202B"/>
    <w:rsid w:val="2001262E"/>
    <w:rsid w:val="200D64BE"/>
    <w:rsid w:val="20153599"/>
    <w:rsid w:val="201B2789"/>
    <w:rsid w:val="20214DF0"/>
    <w:rsid w:val="20251BCD"/>
    <w:rsid w:val="20256516"/>
    <w:rsid w:val="20504C0F"/>
    <w:rsid w:val="20584BED"/>
    <w:rsid w:val="20675CE1"/>
    <w:rsid w:val="207F7CDD"/>
    <w:rsid w:val="20A4578F"/>
    <w:rsid w:val="20BC55C4"/>
    <w:rsid w:val="20BF1816"/>
    <w:rsid w:val="20CA6414"/>
    <w:rsid w:val="20D40A6C"/>
    <w:rsid w:val="20D60AAE"/>
    <w:rsid w:val="20D94EF4"/>
    <w:rsid w:val="21061BA2"/>
    <w:rsid w:val="2121427E"/>
    <w:rsid w:val="21262CBA"/>
    <w:rsid w:val="212B1C97"/>
    <w:rsid w:val="21361FB5"/>
    <w:rsid w:val="214B3D89"/>
    <w:rsid w:val="21540FBA"/>
    <w:rsid w:val="2154483D"/>
    <w:rsid w:val="21575426"/>
    <w:rsid w:val="215C1F77"/>
    <w:rsid w:val="216C7D5C"/>
    <w:rsid w:val="2177769E"/>
    <w:rsid w:val="217C4489"/>
    <w:rsid w:val="21A93954"/>
    <w:rsid w:val="21D25FF2"/>
    <w:rsid w:val="21D35B8A"/>
    <w:rsid w:val="21D5280D"/>
    <w:rsid w:val="21EB6B55"/>
    <w:rsid w:val="21F70210"/>
    <w:rsid w:val="22110474"/>
    <w:rsid w:val="221E0187"/>
    <w:rsid w:val="22344A9E"/>
    <w:rsid w:val="22363269"/>
    <w:rsid w:val="223C2DAF"/>
    <w:rsid w:val="223E2651"/>
    <w:rsid w:val="224E39C0"/>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96F92"/>
    <w:rsid w:val="22F7746D"/>
    <w:rsid w:val="22F8166B"/>
    <w:rsid w:val="22FB0071"/>
    <w:rsid w:val="23060CEA"/>
    <w:rsid w:val="230D3451"/>
    <w:rsid w:val="230E5678"/>
    <w:rsid w:val="23257653"/>
    <w:rsid w:val="23346FCE"/>
    <w:rsid w:val="23441FFA"/>
    <w:rsid w:val="234B3276"/>
    <w:rsid w:val="23603619"/>
    <w:rsid w:val="23626207"/>
    <w:rsid w:val="23773623"/>
    <w:rsid w:val="2377693D"/>
    <w:rsid w:val="239C0243"/>
    <w:rsid w:val="239E0ABE"/>
    <w:rsid w:val="239F724D"/>
    <w:rsid w:val="23A1050D"/>
    <w:rsid w:val="23A14082"/>
    <w:rsid w:val="23AB1721"/>
    <w:rsid w:val="23BD1C54"/>
    <w:rsid w:val="23D90902"/>
    <w:rsid w:val="23DA1C5E"/>
    <w:rsid w:val="23EF0BE1"/>
    <w:rsid w:val="23FA709A"/>
    <w:rsid w:val="24002E5E"/>
    <w:rsid w:val="24146117"/>
    <w:rsid w:val="24232DE5"/>
    <w:rsid w:val="2431266C"/>
    <w:rsid w:val="243E0DB0"/>
    <w:rsid w:val="244A408C"/>
    <w:rsid w:val="245A6743"/>
    <w:rsid w:val="246A08B9"/>
    <w:rsid w:val="24754B15"/>
    <w:rsid w:val="247F64CC"/>
    <w:rsid w:val="248D420D"/>
    <w:rsid w:val="24921B27"/>
    <w:rsid w:val="24A0121D"/>
    <w:rsid w:val="24B0652D"/>
    <w:rsid w:val="24B97631"/>
    <w:rsid w:val="24C90419"/>
    <w:rsid w:val="24C92844"/>
    <w:rsid w:val="24CC6FAC"/>
    <w:rsid w:val="24D24D56"/>
    <w:rsid w:val="24DE140E"/>
    <w:rsid w:val="24E2407F"/>
    <w:rsid w:val="24E32289"/>
    <w:rsid w:val="24ED1C1E"/>
    <w:rsid w:val="24F0284D"/>
    <w:rsid w:val="24F039A5"/>
    <w:rsid w:val="24FE653D"/>
    <w:rsid w:val="250E20E4"/>
    <w:rsid w:val="25202C91"/>
    <w:rsid w:val="252331A5"/>
    <w:rsid w:val="252733A0"/>
    <w:rsid w:val="252A6107"/>
    <w:rsid w:val="253B3A36"/>
    <w:rsid w:val="253C4214"/>
    <w:rsid w:val="25425A19"/>
    <w:rsid w:val="25490B3E"/>
    <w:rsid w:val="25667D90"/>
    <w:rsid w:val="256E6C47"/>
    <w:rsid w:val="256F1A53"/>
    <w:rsid w:val="258B2F2B"/>
    <w:rsid w:val="258B31A0"/>
    <w:rsid w:val="25AB3D1C"/>
    <w:rsid w:val="25AC53DC"/>
    <w:rsid w:val="25C40884"/>
    <w:rsid w:val="25C73A07"/>
    <w:rsid w:val="25CB7FC0"/>
    <w:rsid w:val="25D16494"/>
    <w:rsid w:val="25D30AA5"/>
    <w:rsid w:val="25D90A1B"/>
    <w:rsid w:val="25DC0129"/>
    <w:rsid w:val="25DF10AE"/>
    <w:rsid w:val="25E22192"/>
    <w:rsid w:val="25F332FF"/>
    <w:rsid w:val="25FE37D6"/>
    <w:rsid w:val="260A6000"/>
    <w:rsid w:val="26274BB6"/>
    <w:rsid w:val="26356536"/>
    <w:rsid w:val="264B61DF"/>
    <w:rsid w:val="266853C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C25618"/>
    <w:rsid w:val="27D65541"/>
    <w:rsid w:val="27D87A75"/>
    <w:rsid w:val="27E50C24"/>
    <w:rsid w:val="27EC5FCE"/>
    <w:rsid w:val="28183270"/>
    <w:rsid w:val="281C0F13"/>
    <w:rsid w:val="285E7D99"/>
    <w:rsid w:val="28615DEC"/>
    <w:rsid w:val="286651CF"/>
    <w:rsid w:val="28671C46"/>
    <w:rsid w:val="28786555"/>
    <w:rsid w:val="288F0997"/>
    <w:rsid w:val="2897657D"/>
    <w:rsid w:val="289F15C5"/>
    <w:rsid w:val="28AB19F4"/>
    <w:rsid w:val="28BD3A65"/>
    <w:rsid w:val="28BD5FE3"/>
    <w:rsid w:val="28C93D93"/>
    <w:rsid w:val="28D71E0B"/>
    <w:rsid w:val="28DC39BE"/>
    <w:rsid w:val="28DD5BCB"/>
    <w:rsid w:val="28E01F8A"/>
    <w:rsid w:val="28EA79F5"/>
    <w:rsid w:val="28F045AC"/>
    <w:rsid w:val="291B318A"/>
    <w:rsid w:val="291D583E"/>
    <w:rsid w:val="293723B4"/>
    <w:rsid w:val="29602BC4"/>
    <w:rsid w:val="296711A1"/>
    <w:rsid w:val="299629CF"/>
    <w:rsid w:val="299760C7"/>
    <w:rsid w:val="2999350D"/>
    <w:rsid w:val="299E7E78"/>
    <w:rsid w:val="29A604F9"/>
    <w:rsid w:val="29A77266"/>
    <w:rsid w:val="29B759BC"/>
    <w:rsid w:val="29C00DB7"/>
    <w:rsid w:val="29CB762A"/>
    <w:rsid w:val="29D60A95"/>
    <w:rsid w:val="29D94FA1"/>
    <w:rsid w:val="29E31604"/>
    <w:rsid w:val="29F87E04"/>
    <w:rsid w:val="29F93602"/>
    <w:rsid w:val="2A113092"/>
    <w:rsid w:val="2A1A7BC7"/>
    <w:rsid w:val="2A1E01A9"/>
    <w:rsid w:val="2A2D73EC"/>
    <w:rsid w:val="2A2E4CEB"/>
    <w:rsid w:val="2A3B565F"/>
    <w:rsid w:val="2A4A3088"/>
    <w:rsid w:val="2A532C05"/>
    <w:rsid w:val="2A5D0C96"/>
    <w:rsid w:val="2A653259"/>
    <w:rsid w:val="2A8F4841"/>
    <w:rsid w:val="2A932366"/>
    <w:rsid w:val="2AA270FE"/>
    <w:rsid w:val="2AA369DD"/>
    <w:rsid w:val="2AC5618F"/>
    <w:rsid w:val="2AD06022"/>
    <w:rsid w:val="2AD63975"/>
    <w:rsid w:val="2ADD1B0D"/>
    <w:rsid w:val="2AEC47FC"/>
    <w:rsid w:val="2AF1331E"/>
    <w:rsid w:val="2AF46F08"/>
    <w:rsid w:val="2AF81BE3"/>
    <w:rsid w:val="2AFF23A5"/>
    <w:rsid w:val="2B176F87"/>
    <w:rsid w:val="2B361003"/>
    <w:rsid w:val="2B3762A6"/>
    <w:rsid w:val="2B3C6641"/>
    <w:rsid w:val="2B4A27A4"/>
    <w:rsid w:val="2B5567FE"/>
    <w:rsid w:val="2B5B0F6E"/>
    <w:rsid w:val="2B792D84"/>
    <w:rsid w:val="2B925FDF"/>
    <w:rsid w:val="2B9970F1"/>
    <w:rsid w:val="2BB74A47"/>
    <w:rsid w:val="2BDD632A"/>
    <w:rsid w:val="2BE501C7"/>
    <w:rsid w:val="2BE57DB5"/>
    <w:rsid w:val="2BED2E55"/>
    <w:rsid w:val="2BFE73BA"/>
    <w:rsid w:val="2C1738CF"/>
    <w:rsid w:val="2C1945D8"/>
    <w:rsid w:val="2C3E23A2"/>
    <w:rsid w:val="2C4E7E38"/>
    <w:rsid w:val="2C5113C3"/>
    <w:rsid w:val="2C6C7918"/>
    <w:rsid w:val="2C700A7A"/>
    <w:rsid w:val="2C706AD0"/>
    <w:rsid w:val="2C783906"/>
    <w:rsid w:val="2C900878"/>
    <w:rsid w:val="2C9E472D"/>
    <w:rsid w:val="2CB5787B"/>
    <w:rsid w:val="2CC43900"/>
    <w:rsid w:val="2CCA4381"/>
    <w:rsid w:val="2CD30F03"/>
    <w:rsid w:val="2CD66FAA"/>
    <w:rsid w:val="2CE94D29"/>
    <w:rsid w:val="2CEA4162"/>
    <w:rsid w:val="2CF249BE"/>
    <w:rsid w:val="2CFC1554"/>
    <w:rsid w:val="2CFF3512"/>
    <w:rsid w:val="2D0333E4"/>
    <w:rsid w:val="2D0B7148"/>
    <w:rsid w:val="2D17770B"/>
    <w:rsid w:val="2D354DCA"/>
    <w:rsid w:val="2D3E7D46"/>
    <w:rsid w:val="2D581590"/>
    <w:rsid w:val="2D6E6943"/>
    <w:rsid w:val="2D7E4AF7"/>
    <w:rsid w:val="2D8404BB"/>
    <w:rsid w:val="2D8519AC"/>
    <w:rsid w:val="2D87777E"/>
    <w:rsid w:val="2D8E349F"/>
    <w:rsid w:val="2D9469E6"/>
    <w:rsid w:val="2D9D7A77"/>
    <w:rsid w:val="2DAA08E0"/>
    <w:rsid w:val="2DAF78FF"/>
    <w:rsid w:val="2DBF0C0B"/>
    <w:rsid w:val="2DD93F77"/>
    <w:rsid w:val="2DDC694B"/>
    <w:rsid w:val="2DDE7A41"/>
    <w:rsid w:val="2DEF20F0"/>
    <w:rsid w:val="2E041306"/>
    <w:rsid w:val="2E06778F"/>
    <w:rsid w:val="2E087703"/>
    <w:rsid w:val="2E106E4C"/>
    <w:rsid w:val="2E194231"/>
    <w:rsid w:val="2E4C211D"/>
    <w:rsid w:val="2E4D7F49"/>
    <w:rsid w:val="2E4E05E7"/>
    <w:rsid w:val="2E4E1129"/>
    <w:rsid w:val="2E5B5EA2"/>
    <w:rsid w:val="2E614626"/>
    <w:rsid w:val="2E6446EB"/>
    <w:rsid w:val="2E6B07B8"/>
    <w:rsid w:val="2E7F0E61"/>
    <w:rsid w:val="2E7F686F"/>
    <w:rsid w:val="2E870765"/>
    <w:rsid w:val="2E8D0791"/>
    <w:rsid w:val="2E9B39A1"/>
    <w:rsid w:val="2EAA702B"/>
    <w:rsid w:val="2ECD1756"/>
    <w:rsid w:val="2EDD3F6F"/>
    <w:rsid w:val="2F047EE8"/>
    <w:rsid w:val="2F085C75"/>
    <w:rsid w:val="2F2B12A9"/>
    <w:rsid w:val="2F3606B5"/>
    <w:rsid w:val="2F3C4BFB"/>
    <w:rsid w:val="2F471420"/>
    <w:rsid w:val="2F626907"/>
    <w:rsid w:val="2F6B4720"/>
    <w:rsid w:val="2F8A7EF2"/>
    <w:rsid w:val="2F956224"/>
    <w:rsid w:val="2FA23A7C"/>
    <w:rsid w:val="2FA30525"/>
    <w:rsid w:val="2FAD2A35"/>
    <w:rsid w:val="2FB449B9"/>
    <w:rsid w:val="2FC73BC7"/>
    <w:rsid w:val="2FD33F66"/>
    <w:rsid w:val="2FD408E0"/>
    <w:rsid w:val="2FE311E4"/>
    <w:rsid w:val="2FF608DC"/>
    <w:rsid w:val="2FF71222"/>
    <w:rsid w:val="2FFD3FAC"/>
    <w:rsid w:val="3004586C"/>
    <w:rsid w:val="300B6218"/>
    <w:rsid w:val="30160ACC"/>
    <w:rsid w:val="302651B2"/>
    <w:rsid w:val="3045081F"/>
    <w:rsid w:val="305D69EA"/>
    <w:rsid w:val="306825DD"/>
    <w:rsid w:val="30834BF9"/>
    <w:rsid w:val="308974AE"/>
    <w:rsid w:val="30944718"/>
    <w:rsid w:val="30945B60"/>
    <w:rsid w:val="30B978AD"/>
    <w:rsid w:val="30C01078"/>
    <w:rsid w:val="30CF0FD9"/>
    <w:rsid w:val="30CF5A24"/>
    <w:rsid w:val="30E42C41"/>
    <w:rsid w:val="30EA3353"/>
    <w:rsid w:val="30F34FAE"/>
    <w:rsid w:val="3133127A"/>
    <w:rsid w:val="31353CD7"/>
    <w:rsid w:val="313E620E"/>
    <w:rsid w:val="313E6CDE"/>
    <w:rsid w:val="313F3759"/>
    <w:rsid w:val="31727F68"/>
    <w:rsid w:val="317662E9"/>
    <w:rsid w:val="31907F15"/>
    <w:rsid w:val="31954796"/>
    <w:rsid w:val="31962DAE"/>
    <w:rsid w:val="319F0073"/>
    <w:rsid w:val="31B9498A"/>
    <w:rsid w:val="31CB6BC1"/>
    <w:rsid w:val="31CE7B45"/>
    <w:rsid w:val="31DD48DC"/>
    <w:rsid w:val="31E60453"/>
    <w:rsid w:val="32044DED"/>
    <w:rsid w:val="320C562E"/>
    <w:rsid w:val="3215767E"/>
    <w:rsid w:val="321B43C1"/>
    <w:rsid w:val="32327738"/>
    <w:rsid w:val="323F70E3"/>
    <w:rsid w:val="32414601"/>
    <w:rsid w:val="324B22D2"/>
    <w:rsid w:val="32575E9A"/>
    <w:rsid w:val="325C3AF5"/>
    <w:rsid w:val="3262622A"/>
    <w:rsid w:val="327A0FE8"/>
    <w:rsid w:val="328D6C7F"/>
    <w:rsid w:val="32945F83"/>
    <w:rsid w:val="329A2CCD"/>
    <w:rsid w:val="329F684F"/>
    <w:rsid w:val="32B26B6D"/>
    <w:rsid w:val="32C92CF9"/>
    <w:rsid w:val="32CC0FF0"/>
    <w:rsid w:val="32DF7982"/>
    <w:rsid w:val="32F96ACA"/>
    <w:rsid w:val="330258B3"/>
    <w:rsid w:val="33054642"/>
    <w:rsid w:val="330C7AAB"/>
    <w:rsid w:val="33106E3B"/>
    <w:rsid w:val="332F0A06"/>
    <w:rsid w:val="33301D0B"/>
    <w:rsid w:val="333E4968"/>
    <w:rsid w:val="336114D2"/>
    <w:rsid w:val="337E28B4"/>
    <w:rsid w:val="338A0241"/>
    <w:rsid w:val="33951969"/>
    <w:rsid w:val="339B5E01"/>
    <w:rsid w:val="33A23634"/>
    <w:rsid w:val="33A31D7A"/>
    <w:rsid w:val="33A6539B"/>
    <w:rsid w:val="33D163EF"/>
    <w:rsid w:val="33D45DFD"/>
    <w:rsid w:val="33E605A3"/>
    <w:rsid w:val="33E706E6"/>
    <w:rsid w:val="33F14703"/>
    <w:rsid w:val="33F7797D"/>
    <w:rsid w:val="33FA4C57"/>
    <w:rsid w:val="3406027F"/>
    <w:rsid w:val="341D068F"/>
    <w:rsid w:val="343E4026"/>
    <w:rsid w:val="345B2367"/>
    <w:rsid w:val="346F3947"/>
    <w:rsid w:val="34831F1B"/>
    <w:rsid w:val="34841338"/>
    <w:rsid w:val="348B5095"/>
    <w:rsid w:val="348C5C52"/>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7D57"/>
    <w:rsid w:val="35356F10"/>
    <w:rsid w:val="354840CB"/>
    <w:rsid w:val="355C013C"/>
    <w:rsid w:val="35611C20"/>
    <w:rsid w:val="35653EA9"/>
    <w:rsid w:val="3565420B"/>
    <w:rsid w:val="356A5BBA"/>
    <w:rsid w:val="356A601B"/>
    <w:rsid w:val="35825C91"/>
    <w:rsid w:val="3583595D"/>
    <w:rsid w:val="35841013"/>
    <w:rsid w:val="358B79C9"/>
    <w:rsid w:val="35934427"/>
    <w:rsid w:val="359A00B9"/>
    <w:rsid w:val="35AF56A8"/>
    <w:rsid w:val="35BF1F77"/>
    <w:rsid w:val="35C72C49"/>
    <w:rsid w:val="35CE4601"/>
    <w:rsid w:val="35F73AA1"/>
    <w:rsid w:val="35F853BB"/>
    <w:rsid w:val="35FB1676"/>
    <w:rsid w:val="36101CF6"/>
    <w:rsid w:val="361526DE"/>
    <w:rsid w:val="36225127"/>
    <w:rsid w:val="36237E20"/>
    <w:rsid w:val="362551E1"/>
    <w:rsid w:val="36286678"/>
    <w:rsid w:val="36371F41"/>
    <w:rsid w:val="363803C7"/>
    <w:rsid w:val="367620D2"/>
    <w:rsid w:val="3689139F"/>
    <w:rsid w:val="368C6D8A"/>
    <w:rsid w:val="369608CE"/>
    <w:rsid w:val="369B2954"/>
    <w:rsid w:val="36A30297"/>
    <w:rsid w:val="36C1037B"/>
    <w:rsid w:val="36D067A6"/>
    <w:rsid w:val="36D4011D"/>
    <w:rsid w:val="36D81C0F"/>
    <w:rsid w:val="36E865A3"/>
    <w:rsid w:val="37070D11"/>
    <w:rsid w:val="37201F64"/>
    <w:rsid w:val="373F53DD"/>
    <w:rsid w:val="374C04C6"/>
    <w:rsid w:val="375948AC"/>
    <w:rsid w:val="376B28D6"/>
    <w:rsid w:val="376C0D7B"/>
    <w:rsid w:val="376C5D00"/>
    <w:rsid w:val="376E276D"/>
    <w:rsid w:val="37A04E93"/>
    <w:rsid w:val="37A52A59"/>
    <w:rsid w:val="37AA5D9B"/>
    <w:rsid w:val="37C6420E"/>
    <w:rsid w:val="37D22ED3"/>
    <w:rsid w:val="37EA0A17"/>
    <w:rsid w:val="380A7603"/>
    <w:rsid w:val="380B0BB2"/>
    <w:rsid w:val="380D32F1"/>
    <w:rsid w:val="380D5D0D"/>
    <w:rsid w:val="38243947"/>
    <w:rsid w:val="382943E1"/>
    <w:rsid w:val="382F2C1E"/>
    <w:rsid w:val="3871463E"/>
    <w:rsid w:val="38716CD9"/>
    <w:rsid w:val="38801C6C"/>
    <w:rsid w:val="38851608"/>
    <w:rsid w:val="38977E69"/>
    <w:rsid w:val="389F2071"/>
    <w:rsid w:val="38A45712"/>
    <w:rsid w:val="38A47DD9"/>
    <w:rsid w:val="38B04451"/>
    <w:rsid w:val="38C10843"/>
    <w:rsid w:val="38CC35B4"/>
    <w:rsid w:val="38D10166"/>
    <w:rsid w:val="38D75A4F"/>
    <w:rsid w:val="38EB156D"/>
    <w:rsid w:val="38F103FB"/>
    <w:rsid w:val="38FB719B"/>
    <w:rsid w:val="39207FD2"/>
    <w:rsid w:val="392E645D"/>
    <w:rsid w:val="3933207C"/>
    <w:rsid w:val="39341BE2"/>
    <w:rsid w:val="393947EE"/>
    <w:rsid w:val="394B37F2"/>
    <w:rsid w:val="39532C2F"/>
    <w:rsid w:val="397501AA"/>
    <w:rsid w:val="39756BD2"/>
    <w:rsid w:val="39985F30"/>
    <w:rsid w:val="39A5191F"/>
    <w:rsid w:val="39D3500A"/>
    <w:rsid w:val="39D620EE"/>
    <w:rsid w:val="39D96419"/>
    <w:rsid w:val="39E55169"/>
    <w:rsid w:val="39E84553"/>
    <w:rsid w:val="39F13F9D"/>
    <w:rsid w:val="39F4018B"/>
    <w:rsid w:val="39F72E22"/>
    <w:rsid w:val="39F73457"/>
    <w:rsid w:val="3A094E52"/>
    <w:rsid w:val="3A174971"/>
    <w:rsid w:val="3A273045"/>
    <w:rsid w:val="3A351385"/>
    <w:rsid w:val="3A3E4729"/>
    <w:rsid w:val="3A675D63"/>
    <w:rsid w:val="3A831213"/>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47510C"/>
    <w:rsid w:val="3B4C622A"/>
    <w:rsid w:val="3B634927"/>
    <w:rsid w:val="3B6C16EB"/>
    <w:rsid w:val="3B7F36AC"/>
    <w:rsid w:val="3B822235"/>
    <w:rsid w:val="3B861D2E"/>
    <w:rsid w:val="3B8A4350"/>
    <w:rsid w:val="3B937808"/>
    <w:rsid w:val="3BC25680"/>
    <w:rsid w:val="3BD653F5"/>
    <w:rsid w:val="3BE16ECF"/>
    <w:rsid w:val="3BED0FCA"/>
    <w:rsid w:val="3C112CD7"/>
    <w:rsid w:val="3C1D10AF"/>
    <w:rsid w:val="3C211965"/>
    <w:rsid w:val="3C226C56"/>
    <w:rsid w:val="3C4B0ED5"/>
    <w:rsid w:val="3C5E6EF6"/>
    <w:rsid w:val="3C62051E"/>
    <w:rsid w:val="3C650224"/>
    <w:rsid w:val="3C6C2EB8"/>
    <w:rsid w:val="3CA91418"/>
    <w:rsid w:val="3CAD34C9"/>
    <w:rsid w:val="3CBC1B56"/>
    <w:rsid w:val="3CBD75BF"/>
    <w:rsid w:val="3CC33BCC"/>
    <w:rsid w:val="3CCD0E41"/>
    <w:rsid w:val="3CD641A1"/>
    <w:rsid w:val="3CE2490A"/>
    <w:rsid w:val="3CEA648A"/>
    <w:rsid w:val="3CF06E89"/>
    <w:rsid w:val="3D093637"/>
    <w:rsid w:val="3D1502D9"/>
    <w:rsid w:val="3D30516B"/>
    <w:rsid w:val="3D390582"/>
    <w:rsid w:val="3D3F406A"/>
    <w:rsid w:val="3D555673"/>
    <w:rsid w:val="3D5657CC"/>
    <w:rsid w:val="3D5D2E26"/>
    <w:rsid w:val="3D6865CE"/>
    <w:rsid w:val="3D697A4C"/>
    <w:rsid w:val="3D876DDA"/>
    <w:rsid w:val="3D8C35CB"/>
    <w:rsid w:val="3D8E5ECA"/>
    <w:rsid w:val="3D911ECD"/>
    <w:rsid w:val="3DA6750A"/>
    <w:rsid w:val="3DB21166"/>
    <w:rsid w:val="3DB52FFB"/>
    <w:rsid w:val="3DB8539D"/>
    <w:rsid w:val="3DB932B8"/>
    <w:rsid w:val="3DCE5EF9"/>
    <w:rsid w:val="3DDF3C84"/>
    <w:rsid w:val="3DF17D30"/>
    <w:rsid w:val="3DF55B8D"/>
    <w:rsid w:val="3DF740D2"/>
    <w:rsid w:val="3E1533E8"/>
    <w:rsid w:val="3E195A9F"/>
    <w:rsid w:val="3E2942BE"/>
    <w:rsid w:val="3E300439"/>
    <w:rsid w:val="3E320B89"/>
    <w:rsid w:val="3E3906BC"/>
    <w:rsid w:val="3E462526"/>
    <w:rsid w:val="3E5648B2"/>
    <w:rsid w:val="3E5709F3"/>
    <w:rsid w:val="3E667CEF"/>
    <w:rsid w:val="3E684241"/>
    <w:rsid w:val="3E75521D"/>
    <w:rsid w:val="3E83245B"/>
    <w:rsid w:val="3E8412E9"/>
    <w:rsid w:val="3E9328AF"/>
    <w:rsid w:val="3EA10D82"/>
    <w:rsid w:val="3EBC27E6"/>
    <w:rsid w:val="3EC44C9C"/>
    <w:rsid w:val="3EC46403"/>
    <w:rsid w:val="3EDC10D0"/>
    <w:rsid w:val="3EE10368"/>
    <w:rsid w:val="3EEE2BBE"/>
    <w:rsid w:val="3EF13BC7"/>
    <w:rsid w:val="3EF53D00"/>
    <w:rsid w:val="3EF94FFC"/>
    <w:rsid w:val="3F0C4369"/>
    <w:rsid w:val="3F266B2E"/>
    <w:rsid w:val="3F2F53AA"/>
    <w:rsid w:val="3F3073B8"/>
    <w:rsid w:val="3F493F5C"/>
    <w:rsid w:val="3F536673"/>
    <w:rsid w:val="3F5A79F3"/>
    <w:rsid w:val="3F5D2E4D"/>
    <w:rsid w:val="3F5F1F5C"/>
    <w:rsid w:val="3F6A5EE0"/>
    <w:rsid w:val="3F7E7531"/>
    <w:rsid w:val="3F8A14CB"/>
    <w:rsid w:val="3F9120E3"/>
    <w:rsid w:val="3F9E0865"/>
    <w:rsid w:val="3FA5009E"/>
    <w:rsid w:val="3FA97081"/>
    <w:rsid w:val="3FAF7815"/>
    <w:rsid w:val="3FC94921"/>
    <w:rsid w:val="3FD02AA6"/>
    <w:rsid w:val="3FD50D82"/>
    <w:rsid w:val="3FDB1475"/>
    <w:rsid w:val="3FDE5AD9"/>
    <w:rsid w:val="3FE56AF2"/>
    <w:rsid w:val="3FF32979"/>
    <w:rsid w:val="3FF7137F"/>
    <w:rsid w:val="40007A90"/>
    <w:rsid w:val="401C0DE9"/>
    <w:rsid w:val="401C7BD5"/>
    <w:rsid w:val="402417C8"/>
    <w:rsid w:val="40372073"/>
    <w:rsid w:val="403D4A3A"/>
    <w:rsid w:val="404A114E"/>
    <w:rsid w:val="404F52A8"/>
    <w:rsid w:val="40790653"/>
    <w:rsid w:val="40942502"/>
    <w:rsid w:val="40AA46A6"/>
    <w:rsid w:val="40B6211F"/>
    <w:rsid w:val="40C2573C"/>
    <w:rsid w:val="40C52CD1"/>
    <w:rsid w:val="40D01BF9"/>
    <w:rsid w:val="40D34024"/>
    <w:rsid w:val="40D43BA0"/>
    <w:rsid w:val="40E241CE"/>
    <w:rsid w:val="40EA78D7"/>
    <w:rsid w:val="40EC35D0"/>
    <w:rsid w:val="40EC510F"/>
    <w:rsid w:val="40EF5D43"/>
    <w:rsid w:val="412912D7"/>
    <w:rsid w:val="41366B89"/>
    <w:rsid w:val="41554B41"/>
    <w:rsid w:val="4158761B"/>
    <w:rsid w:val="41643D6B"/>
    <w:rsid w:val="41771599"/>
    <w:rsid w:val="418E52EE"/>
    <w:rsid w:val="41A04E11"/>
    <w:rsid w:val="41CA6260"/>
    <w:rsid w:val="41DB0F0D"/>
    <w:rsid w:val="41F029FA"/>
    <w:rsid w:val="41F615B1"/>
    <w:rsid w:val="420558C2"/>
    <w:rsid w:val="42057B28"/>
    <w:rsid w:val="420874B4"/>
    <w:rsid w:val="421052B2"/>
    <w:rsid w:val="42143C78"/>
    <w:rsid w:val="42190CC2"/>
    <w:rsid w:val="422F36E3"/>
    <w:rsid w:val="42406BE7"/>
    <w:rsid w:val="42407C97"/>
    <w:rsid w:val="42491125"/>
    <w:rsid w:val="427A44C2"/>
    <w:rsid w:val="42880654"/>
    <w:rsid w:val="428D14EF"/>
    <w:rsid w:val="4296187E"/>
    <w:rsid w:val="429B2F25"/>
    <w:rsid w:val="429B4AA7"/>
    <w:rsid w:val="42A65AF0"/>
    <w:rsid w:val="42AD56C6"/>
    <w:rsid w:val="42FF71DC"/>
    <w:rsid w:val="42FF7548"/>
    <w:rsid w:val="43065E58"/>
    <w:rsid w:val="43082441"/>
    <w:rsid w:val="432B1FC3"/>
    <w:rsid w:val="43346B04"/>
    <w:rsid w:val="433D6326"/>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C2FC9"/>
    <w:rsid w:val="43D65E39"/>
    <w:rsid w:val="43D6606E"/>
    <w:rsid w:val="43E63B73"/>
    <w:rsid w:val="43FE3B45"/>
    <w:rsid w:val="441111D7"/>
    <w:rsid w:val="442D64E6"/>
    <w:rsid w:val="44366A11"/>
    <w:rsid w:val="443B3A4C"/>
    <w:rsid w:val="444B0AC4"/>
    <w:rsid w:val="444C64B0"/>
    <w:rsid w:val="444D54BA"/>
    <w:rsid w:val="44607171"/>
    <w:rsid w:val="44742FDB"/>
    <w:rsid w:val="447636BF"/>
    <w:rsid w:val="447E086E"/>
    <w:rsid w:val="44951997"/>
    <w:rsid w:val="449D508C"/>
    <w:rsid w:val="44B15AF7"/>
    <w:rsid w:val="44B36E39"/>
    <w:rsid w:val="44DC2E06"/>
    <w:rsid w:val="44EC7013"/>
    <w:rsid w:val="44F02519"/>
    <w:rsid w:val="44FB3AE3"/>
    <w:rsid w:val="44FF3C64"/>
    <w:rsid w:val="45061393"/>
    <w:rsid w:val="45192C6B"/>
    <w:rsid w:val="45427AA4"/>
    <w:rsid w:val="45515DC5"/>
    <w:rsid w:val="455454A2"/>
    <w:rsid w:val="45564CA5"/>
    <w:rsid w:val="45572E92"/>
    <w:rsid w:val="455B6233"/>
    <w:rsid w:val="456A6A48"/>
    <w:rsid w:val="457C3D14"/>
    <w:rsid w:val="45865E2C"/>
    <w:rsid w:val="45911A43"/>
    <w:rsid w:val="45A16423"/>
    <w:rsid w:val="45A24E61"/>
    <w:rsid w:val="45B457B5"/>
    <w:rsid w:val="45C63F33"/>
    <w:rsid w:val="45C849A3"/>
    <w:rsid w:val="45DA1DB7"/>
    <w:rsid w:val="45DE2657"/>
    <w:rsid w:val="45EE2AB7"/>
    <w:rsid w:val="45F10EC5"/>
    <w:rsid w:val="45F35674"/>
    <w:rsid w:val="45F76AEA"/>
    <w:rsid w:val="45FE10BA"/>
    <w:rsid w:val="460F4303"/>
    <w:rsid w:val="462C3841"/>
    <w:rsid w:val="462E7E70"/>
    <w:rsid w:val="463144E8"/>
    <w:rsid w:val="46335004"/>
    <w:rsid w:val="464004CF"/>
    <w:rsid w:val="46424079"/>
    <w:rsid w:val="465A1079"/>
    <w:rsid w:val="466317E7"/>
    <w:rsid w:val="4668677B"/>
    <w:rsid w:val="466E3CCD"/>
    <w:rsid w:val="4676381B"/>
    <w:rsid w:val="467744FD"/>
    <w:rsid w:val="468D223E"/>
    <w:rsid w:val="46A746F1"/>
    <w:rsid w:val="46A9467B"/>
    <w:rsid w:val="46A9603F"/>
    <w:rsid w:val="46AF30F0"/>
    <w:rsid w:val="46D046FE"/>
    <w:rsid w:val="46D808B3"/>
    <w:rsid w:val="46E12276"/>
    <w:rsid w:val="46F03580"/>
    <w:rsid w:val="46F51A7F"/>
    <w:rsid w:val="47056F93"/>
    <w:rsid w:val="47140188"/>
    <w:rsid w:val="4714637D"/>
    <w:rsid w:val="4718310F"/>
    <w:rsid w:val="472033C0"/>
    <w:rsid w:val="47280D0D"/>
    <w:rsid w:val="47424AC3"/>
    <w:rsid w:val="47581629"/>
    <w:rsid w:val="476B7898"/>
    <w:rsid w:val="47700B34"/>
    <w:rsid w:val="477A6B40"/>
    <w:rsid w:val="478552E3"/>
    <w:rsid w:val="47974276"/>
    <w:rsid w:val="479C078C"/>
    <w:rsid w:val="47B32E9C"/>
    <w:rsid w:val="47B922BA"/>
    <w:rsid w:val="47ED7291"/>
    <w:rsid w:val="47EE2EA3"/>
    <w:rsid w:val="47F46C1C"/>
    <w:rsid w:val="47F93301"/>
    <w:rsid w:val="47FE7658"/>
    <w:rsid w:val="48072039"/>
    <w:rsid w:val="480B19F6"/>
    <w:rsid w:val="480E7E09"/>
    <w:rsid w:val="481D675B"/>
    <w:rsid w:val="482109E5"/>
    <w:rsid w:val="48212AE9"/>
    <w:rsid w:val="48281A14"/>
    <w:rsid w:val="484D05AF"/>
    <w:rsid w:val="48540B7D"/>
    <w:rsid w:val="48580B3F"/>
    <w:rsid w:val="486266B3"/>
    <w:rsid w:val="486C4CE7"/>
    <w:rsid w:val="487216E8"/>
    <w:rsid w:val="487F72A6"/>
    <w:rsid w:val="488536D4"/>
    <w:rsid w:val="489713C3"/>
    <w:rsid w:val="48A262B1"/>
    <w:rsid w:val="48A61EC2"/>
    <w:rsid w:val="48BA3284"/>
    <w:rsid w:val="48CB1CC0"/>
    <w:rsid w:val="48E0782A"/>
    <w:rsid w:val="48E66D59"/>
    <w:rsid w:val="49013C23"/>
    <w:rsid w:val="490A52ED"/>
    <w:rsid w:val="490C3583"/>
    <w:rsid w:val="49163580"/>
    <w:rsid w:val="4916437D"/>
    <w:rsid w:val="491E4DC4"/>
    <w:rsid w:val="491E6E1E"/>
    <w:rsid w:val="491F7F64"/>
    <w:rsid w:val="492A1BD4"/>
    <w:rsid w:val="49582843"/>
    <w:rsid w:val="49733467"/>
    <w:rsid w:val="49A418F2"/>
    <w:rsid w:val="49AD5BED"/>
    <w:rsid w:val="49BE170B"/>
    <w:rsid w:val="49C8100A"/>
    <w:rsid w:val="49F31689"/>
    <w:rsid w:val="49FD4166"/>
    <w:rsid w:val="49FF2037"/>
    <w:rsid w:val="4A0374E6"/>
    <w:rsid w:val="4A0A7F62"/>
    <w:rsid w:val="4A1D00AC"/>
    <w:rsid w:val="4A270A04"/>
    <w:rsid w:val="4A36625B"/>
    <w:rsid w:val="4A3B71DB"/>
    <w:rsid w:val="4A414188"/>
    <w:rsid w:val="4A47591B"/>
    <w:rsid w:val="4A4C4C82"/>
    <w:rsid w:val="4A6F608D"/>
    <w:rsid w:val="4A7669B9"/>
    <w:rsid w:val="4A767F31"/>
    <w:rsid w:val="4A885CE1"/>
    <w:rsid w:val="4A9452E5"/>
    <w:rsid w:val="4A9F2D3A"/>
    <w:rsid w:val="4ABA66FB"/>
    <w:rsid w:val="4ABE4F66"/>
    <w:rsid w:val="4ABF0894"/>
    <w:rsid w:val="4ACC37A5"/>
    <w:rsid w:val="4ACC5242"/>
    <w:rsid w:val="4ADA0BDD"/>
    <w:rsid w:val="4ADB4E28"/>
    <w:rsid w:val="4ADC40E1"/>
    <w:rsid w:val="4ADF16B3"/>
    <w:rsid w:val="4AE17CAF"/>
    <w:rsid w:val="4AF16114"/>
    <w:rsid w:val="4AF75899"/>
    <w:rsid w:val="4B016AF9"/>
    <w:rsid w:val="4B0574A3"/>
    <w:rsid w:val="4B170E1E"/>
    <w:rsid w:val="4B1A46C6"/>
    <w:rsid w:val="4B2517BD"/>
    <w:rsid w:val="4B333D7A"/>
    <w:rsid w:val="4B3422A0"/>
    <w:rsid w:val="4B423A85"/>
    <w:rsid w:val="4B431506"/>
    <w:rsid w:val="4B4D3A8C"/>
    <w:rsid w:val="4B50714F"/>
    <w:rsid w:val="4B515A7A"/>
    <w:rsid w:val="4B5523AC"/>
    <w:rsid w:val="4B693CDC"/>
    <w:rsid w:val="4B6F57B6"/>
    <w:rsid w:val="4BA73A3D"/>
    <w:rsid w:val="4BB31E0A"/>
    <w:rsid w:val="4BC60804"/>
    <w:rsid w:val="4BC74E08"/>
    <w:rsid w:val="4BCF4885"/>
    <w:rsid w:val="4BD07997"/>
    <w:rsid w:val="4BDF3E16"/>
    <w:rsid w:val="4BF722AF"/>
    <w:rsid w:val="4C1003D8"/>
    <w:rsid w:val="4C1705E5"/>
    <w:rsid w:val="4C203473"/>
    <w:rsid w:val="4C2A5F7F"/>
    <w:rsid w:val="4C2F2351"/>
    <w:rsid w:val="4C352DA8"/>
    <w:rsid w:val="4C366477"/>
    <w:rsid w:val="4C376F62"/>
    <w:rsid w:val="4C381F65"/>
    <w:rsid w:val="4C6E6BF7"/>
    <w:rsid w:val="4C6F66E5"/>
    <w:rsid w:val="4C786851"/>
    <w:rsid w:val="4C7F348C"/>
    <w:rsid w:val="4C942881"/>
    <w:rsid w:val="4CA966A6"/>
    <w:rsid w:val="4CAE507C"/>
    <w:rsid w:val="4CAF266F"/>
    <w:rsid w:val="4CB229E2"/>
    <w:rsid w:val="4CC13ECD"/>
    <w:rsid w:val="4CD020F9"/>
    <w:rsid w:val="4D0B17EF"/>
    <w:rsid w:val="4D0E4802"/>
    <w:rsid w:val="4D112DB7"/>
    <w:rsid w:val="4D2F7723"/>
    <w:rsid w:val="4D406BD1"/>
    <w:rsid w:val="4D5047B5"/>
    <w:rsid w:val="4D576F61"/>
    <w:rsid w:val="4D605A45"/>
    <w:rsid w:val="4D621236"/>
    <w:rsid w:val="4D76573F"/>
    <w:rsid w:val="4D7E6C33"/>
    <w:rsid w:val="4D831E51"/>
    <w:rsid w:val="4D942472"/>
    <w:rsid w:val="4DA44E4F"/>
    <w:rsid w:val="4DAA4C62"/>
    <w:rsid w:val="4DAD5FAE"/>
    <w:rsid w:val="4DCE74AD"/>
    <w:rsid w:val="4DCF6AB8"/>
    <w:rsid w:val="4DD827C4"/>
    <w:rsid w:val="4DDB53BB"/>
    <w:rsid w:val="4DDD0570"/>
    <w:rsid w:val="4DF521AC"/>
    <w:rsid w:val="4E0A2800"/>
    <w:rsid w:val="4E0D58C8"/>
    <w:rsid w:val="4E154828"/>
    <w:rsid w:val="4E1B7FC4"/>
    <w:rsid w:val="4E222649"/>
    <w:rsid w:val="4E244D2D"/>
    <w:rsid w:val="4E5079C5"/>
    <w:rsid w:val="4E5C1FD5"/>
    <w:rsid w:val="4E623BD3"/>
    <w:rsid w:val="4E710D72"/>
    <w:rsid w:val="4E7906E7"/>
    <w:rsid w:val="4E837C45"/>
    <w:rsid w:val="4E8A245B"/>
    <w:rsid w:val="4E993495"/>
    <w:rsid w:val="4E9F6F67"/>
    <w:rsid w:val="4EA30D9D"/>
    <w:rsid w:val="4EA31AE4"/>
    <w:rsid w:val="4EB2058C"/>
    <w:rsid w:val="4EB60C48"/>
    <w:rsid w:val="4EDE147E"/>
    <w:rsid w:val="4EE419FD"/>
    <w:rsid w:val="4EEA3967"/>
    <w:rsid w:val="4EEF1B44"/>
    <w:rsid w:val="4F0A27C3"/>
    <w:rsid w:val="4F0F005F"/>
    <w:rsid w:val="4F102A1D"/>
    <w:rsid w:val="4F165D52"/>
    <w:rsid w:val="4F190BD2"/>
    <w:rsid w:val="4F1D369F"/>
    <w:rsid w:val="4F213A90"/>
    <w:rsid w:val="4F290247"/>
    <w:rsid w:val="4F2A1060"/>
    <w:rsid w:val="4F323CD2"/>
    <w:rsid w:val="4F332C0A"/>
    <w:rsid w:val="4F433DC8"/>
    <w:rsid w:val="4F4510BC"/>
    <w:rsid w:val="4F4B51A5"/>
    <w:rsid w:val="4F545D86"/>
    <w:rsid w:val="4F5F1347"/>
    <w:rsid w:val="4F6222CB"/>
    <w:rsid w:val="4F896D46"/>
    <w:rsid w:val="4F974D24"/>
    <w:rsid w:val="4FA14EEC"/>
    <w:rsid w:val="4FA84227"/>
    <w:rsid w:val="4FC231D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DD17B8"/>
    <w:rsid w:val="50E00158"/>
    <w:rsid w:val="50E8434B"/>
    <w:rsid w:val="50F0291C"/>
    <w:rsid w:val="50F5073D"/>
    <w:rsid w:val="51152F96"/>
    <w:rsid w:val="51183F80"/>
    <w:rsid w:val="51286AE9"/>
    <w:rsid w:val="512B131B"/>
    <w:rsid w:val="513A3289"/>
    <w:rsid w:val="514946EA"/>
    <w:rsid w:val="515B2086"/>
    <w:rsid w:val="51635750"/>
    <w:rsid w:val="516C5BB7"/>
    <w:rsid w:val="51881606"/>
    <w:rsid w:val="518E2820"/>
    <w:rsid w:val="51AC5137"/>
    <w:rsid w:val="51B4195C"/>
    <w:rsid w:val="51B463DB"/>
    <w:rsid w:val="51C24E31"/>
    <w:rsid w:val="51C31254"/>
    <w:rsid w:val="51C979DD"/>
    <w:rsid w:val="51D20DCB"/>
    <w:rsid w:val="51D53F96"/>
    <w:rsid w:val="520A22AE"/>
    <w:rsid w:val="521974CD"/>
    <w:rsid w:val="522143CD"/>
    <w:rsid w:val="52247A0F"/>
    <w:rsid w:val="52287031"/>
    <w:rsid w:val="52385792"/>
    <w:rsid w:val="523D42DD"/>
    <w:rsid w:val="523F6AFF"/>
    <w:rsid w:val="524B2DC8"/>
    <w:rsid w:val="524B31F8"/>
    <w:rsid w:val="524F31BF"/>
    <w:rsid w:val="52514A0D"/>
    <w:rsid w:val="526D6A4B"/>
    <w:rsid w:val="5273265C"/>
    <w:rsid w:val="527503A3"/>
    <w:rsid w:val="527B5D61"/>
    <w:rsid w:val="52853336"/>
    <w:rsid w:val="52881D50"/>
    <w:rsid w:val="52991222"/>
    <w:rsid w:val="529B3EC4"/>
    <w:rsid w:val="529C6295"/>
    <w:rsid w:val="529C7876"/>
    <w:rsid w:val="52BC72D9"/>
    <w:rsid w:val="52DB19FD"/>
    <w:rsid w:val="52EE339D"/>
    <w:rsid w:val="530174D7"/>
    <w:rsid w:val="5306292A"/>
    <w:rsid w:val="530822C8"/>
    <w:rsid w:val="53317508"/>
    <w:rsid w:val="533E1E81"/>
    <w:rsid w:val="53445C3B"/>
    <w:rsid w:val="534B7333"/>
    <w:rsid w:val="536C234B"/>
    <w:rsid w:val="536F3F83"/>
    <w:rsid w:val="53703E8D"/>
    <w:rsid w:val="53707DDE"/>
    <w:rsid w:val="537E0058"/>
    <w:rsid w:val="537E6888"/>
    <w:rsid w:val="53943296"/>
    <w:rsid w:val="53950AA6"/>
    <w:rsid w:val="539605FB"/>
    <w:rsid w:val="53B2385F"/>
    <w:rsid w:val="53C057E0"/>
    <w:rsid w:val="53C15DE9"/>
    <w:rsid w:val="53C502CE"/>
    <w:rsid w:val="53D02F55"/>
    <w:rsid w:val="53E11E9C"/>
    <w:rsid w:val="53E12D9E"/>
    <w:rsid w:val="53E64B1C"/>
    <w:rsid w:val="53E8652B"/>
    <w:rsid w:val="53EB486A"/>
    <w:rsid w:val="53EE23BF"/>
    <w:rsid w:val="53EE67E9"/>
    <w:rsid w:val="53FD1C03"/>
    <w:rsid w:val="54005B5D"/>
    <w:rsid w:val="54020BC2"/>
    <w:rsid w:val="540310FA"/>
    <w:rsid w:val="54037045"/>
    <w:rsid w:val="540817F6"/>
    <w:rsid w:val="54120C4A"/>
    <w:rsid w:val="54122738"/>
    <w:rsid w:val="541F77E0"/>
    <w:rsid w:val="5420562A"/>
    <w:rsid w:val="54270E2A"/>
    <w:rsid w:val="543E515D"/>
    <w:rsid w:val="543F413B"/>
    <w:rsid w:val="5443534C"/>
    <w:rsid w:val="544B0D54"/>
    <w:rsid w:val="545114AC"/>
    <w:rsid w:val="54591CDE"/>
    <w:rsid w:val="545952F2"/>
    <w:rsid w:val="54625354"/>
    <w:rsid w:val="5469558C"/>
    <w:rsid w:val="54984A43"/>
    <w:rsid w:val="54B61E08"/>
    <w:rsid w:val="54C557E7"/>
    <w:rsid w:val="54C65EC0"/>
    <w:rsid w:val="54D43100"/>
    <w:rsid w:val="552760F6"/>
    <w:rsid w:val="552A09F4"/>
    <w:rsid w:val="5532296D"/>
    <w:rsid w:val="55452810"/>
    <w:rsid w:val="555154EE"/>
    <w:rsid w:val="5571253B"/>
    <w:rsid w:val="558F4A1E"/>
    <w:rsid w:val="55942252"/>
    <w:rsid w:val="55987FBD"/>
    <w:rsid w:val="55B41C64"/>
    <w:rsid w:val="55C06837"/>
    <w:rsid w:val="55E34DF9"/>
    <w:rsid w:val="55EC2897"/>
    <w:rsid w:val="55F0187C"/>
    <w:rsid w:val="55FA242D"/>
    <w:rsid w:val="5630640C"/>
    <w:rsid w:val="564B32E4"/>
    <w:rsid w:val="5652511E"/>
    <w:rsid w:val="5652573E"/>
    <w:rsid w:val="56543A0D"/>
    <w:rsid w:val="5658232F"/>
    <w:rsid w:val="56686EA1"/>
    <w:rsid w:val="566B01D5"/>
    <w:rsid w:val="566B50BC"/>
    <w:rsid w:val="56754367"/>
    <w:rsid w:val="56860213"/>
    <w:rsid w:val="569E1AC8"/>
    <w:rsid w:val="56A4132F"/>
    <w:rsid w:val="56AA0529"/>
    <w:rsid w:val="56AC279F"/>
    <w:rsid w:val="56AF2E6F"/>
    <w:rsid w:val="56AF79C4"/>
    <w:rsid w:val="56BE671B"/>
    <w:rsid w:val="56D51F0A"/>
    <w:rsid w:val="56DF0963"/>
    <w:rsid w:val="56E00193"/>
    <w:rsid w:val="56E2204D"/>
    <w:rsid w:val="56E2575C"/>
    <w:rsid w:val="56F37D3E"/>
    <w:rsid w:val="56F473C0"/>
    <w:rsid w:val="56FD3D8C"/>
    <w:rsid w:val="57065F83"/>
    <w:rsid w:val="57097BE4"/>
    <w:rsid w:val="570B6550"/>
    <w:rsid w:val="570E1847"/>
    <w:rsid w:val="57196157"/>
    <w:rsid w:val="573434A1"/>
    <w:rsid w:val="57460250"/>
    <w:rsid w:val="57484C26"/>
    <w:rsid w:val="5758628A"/>
    <w:rsid w:val="57745BB6"/>
    <w:rsid w:val="57855787"/>
    <w:rsid w:val="578A1BF3"/>
    <w:rsid w:val="57A04D4E"/>
    <w:rsid w:val="57B02739"/>
    <w:rsid w:val="57B439EF"/>
    <w:rsid w:val="57BD6C04"/>
    <w:rsid w:val="57C51573"/>
    <w:rsid w:val="57D6036B"/>
    <w:rsid w:val="57DE28CC"/>
    <w:rsid w:val="57FF606E"/>
    <w:rsid w:val="580032F4"/>
    <w:rsid w:val="580716CC"/>
    <w:rsid w:val="58220A26"/>
    <w:rsid w:val="58381DBD"/>
    <w:rsid w:val="58382405"/>
    <w:rsid w:val="58394C38"/>
    <w:rsid w:val="58423CCA"/>
    <w:rsid w:val="584B7C06"/>
    <w:rsid w:val="58510290"/>
    <w:rsid w:val="58553578"/>
    <w:rsid w:val="58553705"/>
    <w:rsid w:val="5855370B"/>
    <w:rsid w:val="58570D1A"/>
    <w:rsid w:val="58590F71"/>
    <w:rsid w:val="587F1C22"/>
    <w:rsid w:val="58A80E04"/>
    <w:rsid w:val="58AD34B9"/>
    <w:rsid w:val="58B31DD9"/>
    <w:rsid w:val="58B91125"/>
    <w:rsid w:val="58BE2FA8"/>
    <w:rsid w:val="58C52932"/>
    <w:rsid w:val="58C64CF3"/>
    <w:rsid w:val="58CB3B78"/>
    <w:rsid w:val="58CC3D49"/>
    <w:rsid w:val="58D21B64"/>
    <w:rsid w:val="590D2328"/>
    <w:rsid w:val="590F51DD"/>
    <w:rsid w:val="591E2294"/>
    <w:rsid w:val="59232C0B"/>
    <w:rsid w:val="593A62F9"/>
    <w:rsid w:val="594B4FD2"/>
    <w:rsid w:val="594D06B7"/>
    <w:rsid w:val="596B59CC"/>
    <w:rsid w:val="597A115C"/>
    <w:rsid w:val="598A5B73"/>
    <w:rsid w:val="598D03EC"/>
    <w:rsid w:val="598D6E21"/>
    <w:rsid w:val="598D7696"/>
    <w:rsid w:val="59901ABC"/>
    <w:rsid w:val="599C0038"/>
    <w:rsid w:val="599F6487"/>
    <w:rsid w:val="59B04427"/>
    <w:rsid w:val="59B377F3"/>
    <w:rsid w:val="59B6573E"/>
    <w:rsid w:val="59C43D4D"/>
    <w:rsid w:val="59C83A39"/>
    <w:rsid w:val="59FB18DA"/>
    <w:rsid w:val="5A10384E"/>
    <w:rsid w:val="5A160FDB"/>
    <w:rsid w:val="5A261DCD"/>
    <w:rsid w:val="5A361544"/>
    <w:rsid w:val="5A3F108A"/>
    <w:rsid w:val="5A491507"/>
    <w:rsid w:val="5A5B363C"/>
    <w:rsid w:val="5A6845F3"/>
    <w:rsid w:val="5A6D76C0"/>
    <w:rsid w:val="5A723A0D"/>
    <w:rsid w:val="5A762255"/>
    <w:rsid w:val="5A833B0D"/>
    <w:rsid w:val="5A9D621A"/>
    <w:rsid w:val="5AA0523C"/>
    <w:rsid w:val="5AB17106"/>
    <w:rsid w:val="5AB864BE"/>
    <w:rsid w:val="5AC219D6"/>
    <w:rsid w:val="5AC94301"/>
    <w:rsid w:val="5ACF40CD"/>
    <w:rsid w:val="5AD94AE6"/>
    <w:rsid w:val="5AE67733"/>
    <w:rsid w:val="5AF423C3"/>
    <w:rsid w:val="5AF57B23"/>
    <w:rsid w:val="5AFD3B96"/>
    <w:rsid w:val="5B0C640C"/>
    <w:rsid w:val="5B170C5D"/>
    <w:rsid w:val="5B2D305D"/>
    <w:rsid w:val="5B443E9C"/>
    <w:rsid w:val="5B4C1057"/>
    <w:rsid w:val="5B53327E"/>
    <w:rsid w:val="5B60602F"/>
    <w:rsid w:val="5B6B0ACC"/>
    <w:rsid w:val="5B707739"/>
    <w:rsid w:val="5B7D7957"/>
    <w:rsid w:val="5B830BC2"/>
    <w:rsid w:val="5B8A7735"/>
    <w:rsid w:val="5B956906"/>
    <w:rsid w:val="5B987E52"/>
    <w:rsid w:val="5BAB48F4"/>
    <w:rsid w:val="5BB94EB6"/>
    <w:rsid w:val="5BCE4EA4"/>
    <w:rsid w:val="5BD209C4"/>
    <w:rsid w:val="5BD637EC"/>
    <w:rsid w:val="5BDE5A43"/>
    <w:rsid w:val="5BE0323A"/>
    <w:rsid w:val="5BE80ED6"/>
    <w:rsid w:val="5C056287"/>
    <w:rsid w:val="5C0D4CE2"/>
    <w:rsid w:val="5C1679CD"/>
    <w:rsid w:val="5C1A362B"/>
    <w:rsid w:val="5C1B5EE5"/>
    <w:rsid w:val="5C1B7F5F"/>
    <w:rsid w:val="5C1C1754"/>
    <w:rsid w:val="5C2D3BC9"/>
    <w:rsid w:val="5C34166A"/>
    <w:rsid w:val="5C4A36B7"/>
    <w:rsid w:val="5C4D4E88"/>
    <w:rsid w:val="5C4E44D4"/>
    <w:rsid w:val="5C5552A6"/>
    <w:rsid w:val="5C7F58F3"/>
    <w:rsid w:val="5C80234E"/>
    <w:rsid w:val="5CC83DC7"/>
    <w:rsid w:val="5CD7479C"/>
    <w:rsid w:val="5CE536CF"/>
    <w:rsid w:val="5CE568F8"/>
    <w:rsid w:val="5CF33064"/>
    <w:rsid w:val="5D013D09"/>
    <w:rsid w:val="5D0536BD"/>
    <w:rsid w:val="5D0576C4"/>
    <w:rsid w:val="5D095648"/>
    <w:rsid w:val="5D203E5D"/>
    <w:rsid w:val="5D230368"/>
    <w:rsid w:val="5D255730"/>
    <w:rsid w:val="5D424AC5"/>
    <w:rsid w:val="5D5667E0"/>
    <w:rsid w:val="5D580881"/>
    <w:rsid w:val="5D6261CB"/>
    <w:rsid w:val="5DA13534"/>
    <w:rsid w:val="5DA53292"/>
    <w:rsid w:val="5DC9382F"/>
    <w:rsid w:val="5DCB56EC"/>
    <w:rsid w:val="5DD14279"/>
    <w:rsid w:val="5DE448D2"/>
    <w:rsid w:val="5DF441FF"/>
    <w:rsid w:val="5E057AF6"/>
    <w:rsid w:val="5E1463C6"/>
    <w:rsid w:val="5E285722"/>
    <w:rsid w:val="5E3B4D31"/>
    <w:rsid w:val="5E3E65D1"/>
    <w:rsid w:val="5E4B7A1D"/>
    <w:rsid w:val="5E4D4830"/>
    <w:rsid w:val="5E4E1644"/>
    <w:rsid w:val="5E50050F"/>
    <w:rsid w:val="5E51429A"/>
    <w:rsid w:val="5E5D04EF"/>
    <w:rsid w:val="5E68591D"/>
    <w:rsid w:val="5E6F4AE3"/>
    <w:rsid w:val="5E731D18"/>
    <w:rsid w:val="5E736001"/>
    <w:rsid w:val="5E742249"/>
    <w:rsid w:val="5E986D1D"/>
    <w:rsid w:val="5E9E597C"/>
    <w:rsid w:val="5EA97C8F"/>
    <w:rsid w:val="5EAC7460"/>
    <w:rsid w:val="5EBA6970"/>
    <w:rsid w:val="5ED41D7B"/>
    <w:rsid w:val="5EE11EB8"/>
    <w:rsid w:val="5EFC6636"/>
    <w:rsid w:val="5F0936DE"/>
    <w:rsid w:val="5F1564DA"/>
    <w:rsid w:val="5F171517"/>
    <w:rsid w:val="5F250070"/>
    <w:rsid w:val="5F3209BE"/>
    <w:rsid w:val="5F5B6A83"/>
    <w:rsid w:val="5F62295E"/>
    <w:rsid w:val="5F693096"/>
    <w:rsid w:val="5F6E2DA1"/>
    <w:rsid w:val="5F7D16C2"/>
    <w:rsid w:val="5F892553"/>
    <w:rsid w:val="5FAB77AE"/>
    <w:rsid w:val="5FB301BB"/>
    <w:rsid w:val="5FC727AA"/>
    <w:rsid w:val="5FD04B62"/>
    <w:rsid w:val="5FD144A5"/>
    <w:rsid w:val="5FFA6139"/>
    <w:rsid w:val="5FFB5E88"/>
    <w:rsid w:val="600A6271"/>
    <w:rsid w:val="601101FB"/>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D295D"/>
    <w:rsid w:val="60CE2A0E"/>
    <w:rsid w:val="60E520C9"/>
    <w:rsid w:val="61096ED4"/>
    <w:rsid w:val="611D1FCC"/>
    <w:rsid w:val="61204933"/>
    <w:rsid w:val="612354B4"/>
    <w:rsid w:val="61351A56"/>
    <w:rsid w:val="613F62A8"/>
    <w:rsid w:val="61415F87"/>
    <w:rsid w:val="61561800"/>
    <w:rsid w:val="615A223E"/>
    <w:rsid w:val="615A4676"/>
    <w:rsid w:val="615B47A6"/>
    <w:rsid w:val="616435A6"/>
    <w:rsid w:val="619940E6"/>
    <w:rsid w:val="61A6014E"/>
    <w:rsid w:val="61B3236A"/>
    <w:rsid w:val="61D63921"/>
    <w:rsid w:val="61DB724C"/>
    <w:rsid w:val="61EE1B3B"/>
    <w:rsid w:val="61F439C5"/>
    <w:rsid w:val="61F443E9"/>
    <w:rsid w:val="62086520"/>
    <w:rsid w:val="62213533"/>
    <w:rsid w:val="62270D05"/>
    <w:rsid w:val="62297BF9"/>
    <w:rsid w:val="624102C0"/>
    <w:rsid w:val="62454E6A"/>
    <w:rsid w:val="62461BF2"/>
    <w:rsid w:val="624F5302"/>
    <w:rsid w:val="62607426"/>
    <w:rsid w:val="626C2AFF"/>
    <w:rsid w:val="62762D19"/>
    <w:rsid w:val="62865532"/>
    <w:rsid w:val="62867444"/>
    <w:rsid w:val="629B54AE"/>
    <w:rsid w:val="629D3598"/>
    <w:rsid w:val="629D7EE8"/>
    <w:rsid w:val="62A734E8"/>
    <w:rsid w:val="62AE7A21"/>
    <w:rsid w:val="62BF666C"/>
    <w:rsid w:val="62C73A65"/>
    <w:rsid w:val="62C7491F"/>
    <w:rsid w:val="62C906B0"/>
    <w:rsid w:val="62CD0ED6"/>
    <w:rsid w:val="62D50998"/>
    <w:rsid w:val="62D8753A"/>
    <w:rsid w:val="62E7507D"/>
    <w:rsid w:val="62F67597"/>
    <w:rsid w:val="62F7069C"/>
    <w:rsid w:val="63097D09"/>
    <w:rsid w:val="630C0C8E"/>
    <w:rsid w:val="630C34D0"/>
    <w:rsid w:val="631E48B7"/>
    <w:rsid w:val="6322080B"/>
    <w:rsid w:val="632F2898"/>
    <w:rsid w:val="635F6BBD"/>
    <w:rsid w:val="63785DBF"/>
    <w:rsid w:val="63823BA9"/>
    <w:rsid w:val="638F7AFC"/>
    <w:rsid w:val="639215D8"/>
    <w:rsid w:val="63A043D9"/>
    <w:rsid w:val="63A36BE5"/>
    <w:rsid w:val="63C04B8A"/>
    <w:rsid w:val="63D42229"/>
    <w:rsid w:val="63D45CA5"/>
    <w:rsid w:val="63D8474D"/>
    <w:rsid w:val="63DB746A"/>
    <w:rsid w:val="63E5033D"/>
    <w:rsid w:val="63EC46A4"/>
    <w:rsid w:val="63EE162B"/>
    <w:rsid w:val="63F75B8A"/>
    <w:rsid w:val="640310C7"/>
    <w:rsid w:val="640806F9"/>
    <w:rsid w:val="64155C8D"/>
    <w:rsid w:val="641B0760"/>
    <w:rsid w:val="641E1DE4"/>
    <w:rsid w:val="64203CB4"/>
    <w:rsid w:val="64222857"/>
    <w:rsid w:val="642725EE"/>
    <w:rsid w:val="642C6B67"/>
    <w:rsid w:val="64335EB1"/>
    <w:rsid w:val="64343F73"/>
    <w:rsid w:val="643937B4"/>
    <w:rsid w:val="64433CD0"/>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A240BE"/>
    <w:rsid w:val="65A273A9"/>
    <w:rsid w:val="65AE5114"/>
    <w:rsid w:val="65AE59DE"/>
    <w:rsid w:val="65B22C79"/>
    <w:rsid w:val="65B61DD9"/>
    <w:rsid w:val="65BB5075"/>
    <w:rsid w:val="65BC102A"/>
    <w:rsid w:val="65C76D0B"/>
    <w:rsid w:val="65CB5A52"/>
    <w:rsid w:val="65D23BC4"/>
    <w:rsid w:val="660B76A8"/>
    <w:rsid w:val="662861DC"/>
    <w:rsid w:val="66286B79"/>
    <w:rsid w:val="66306F43"/>
    <w:rsid w:val="66326E97"/>
    <w:rsid w:val="663F4723"/>
    <w:rsid w:val="664615E7"/>
    <w:rsid w:val="665265F4"/>
    <w:rsid w:val="665D487D"/>
    <w:rsid w:val="66682C0E"/>
    <w:rsid w:val="668A0DFC"/>
    <w:rsid w:val="66943E18"/>
    <w:rsid w:val="6699652A"/>
    <w:rsid w:val="66A562F6"/>
    <w:rsid w:val="66A93110"/>
    <w:rsid w:val="66AC664F"/>
    <w:rsid w:val="66AF2B2C"/>
    <w:rsid w:val="66C83F2C"/>
    <w:rsid w:val="66EB1F18"/>
    <w:rsid w:val="66F0190D"/>
    <w:rsid w:val="67064E16"/>
    <w:rsid w:val="67192A32"/>
    <w:rsid w:val="672833FF"/>
    <w:rsid w:val="673832E7"/>
    <w:rsid w:val="673C1CED"/>
    <w:rsid w:val="67447CAA"/>
    <w:rsid w:val="674A6A84"/>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F51F5D"/>
    <w:rsid w:val="67FB68A8"/>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DD058C"/>
    <w:rsid w:val="68E84B74"/>
    <w:rsid w:val="68FE4D8A"/>
    <w:rsid w:val="690300E6"/>
    <w:rsid w:val="691F004A"/>
    <w:rsid w:val="692563EE"/>
    <w:rsid w:val="692D6BB4"/>
    <w:rsid w:val="693D2737"/>
    <w:rsid w:val="69456602"/>
    <w:rsid w:val="6965727E"/>
    <w:rsid w:val="69785369"/>
    <w:rsid w:val="69830D94"/>
    <w:rsid w:val="69C62E9A"/>
    <w:rsid w:val="69D9569F"/>
    <w:rsid w:val="69EC201D"/>
    <w:rsid w:val="69F076EC"/>
    <w:rsid w:val="6A0C4C59"/>
    <w:rsid w:val="6A0C7811"/>
    <w:rsid w:val="6A0E77F1"/>
    <w:rsid w:val="6A3001E9"/>
    <w:rsid w:val="6A3B6DD7"/>
    <w:rsid w:val="6A4771FB"/>
    <w:rsid w:val="6A4D0B65"/>
    <w:rsid w:val="6A55161C"/>
    <w:rsid w:val="6A572BE8"/>
    <w:rsid w:val="6A65568E"/>
    <w:rsid w:val="6A6A6D65"/>
    <w:rsid w:val="6A8213EE"/>
    <w:rsid w:val="6A9553FE"/>
    <w:rsid w:val="6A9F48FD"/>
    <w:rsid w:val="6AC02AEF"/>
    <w:rsid w:val="6AC07030"/>
    <w:rsid w:val="6AC30E38"/>
    <w:rsid w:val="6ACB6656"/>
    <w:rsid w:val="6AD0268E"/>
    <w:rsid w:val="6ADB66AC"/>
    <w:rsid w:val="6ADD74FD"/>
    <w:rsid w:val="6AF15601"/>
    <w:rsid w:val="6B085226"/>
    <w:rsid w:val="6B2B52BE"/>
    <w:rsid w:val="6B3816B9"/>
    <w:rsid w:val="6B457289"/>
    <w:rsid w:val="6B4736DA"/>
    <w:rsid w:val="6B4F341C"/>
    <w:rsid w:val="6B4F3EEE"/>
    <w:rsid w:val="6B500E9D"/>
    <w:rsid w:val="6B570F9E"/>
    <w:rsid w:val="6B613AB3"/>
    <w:rsid w:val="6B704D44"/>
    <w:rsid w:val="6B7A4A17"/>
    <w:rsid w:val="6B7F1BF6"/>
    <w:rsid w:val="6B9502A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260AD1"/>
    <w:rsid w:val="6C3B602B"/>
    <w:rsid w:val="6C3E480C"/>
    <w:rsid w:val="6C4A348A"/>
    <w:rsid w:val="6C4A4478"/>
    <w:rsid w:val="6C5002D5"/>
    <w:rsid w:val="6C69343B"/>
    <w:rsid w:val="6C737CFB"/>
    <w:rsid w:val="6C777224"/>
    <w:rsid w:val="6C784906"/>
    <w:rsid w:val="6C83219C"/>
    <w:rsid w:val="6C833B41"/>
    <w:rsid w:val="6C9803A4"/>
    <w:rsid w:val="6CA405A4"/>
    <w:rsid w:val="6CB51A69"/>
    <w:rsid w:val="6CD323B8"/>
    <w:rsid w:val="6CF33107"/>
    <w:rsid w:val="6D243939"/>
    <w:rsid w:val="6D2775A1"/>
    <w:rsid w:val="6D2F5EB0"/>
    <w:rsid w:val="6D3125B4"/>
    <w:rsid w:val="6D416A19"/>
    <w:rsid w:val="6D447778"/>
    <w:rsid w:val="6D4A5F2F"/>
    <w:rsid w:val="6D5F7732"/>
    <w:rsid w:val="6D620170"/>
    <w:rsid w:val="6D6668C3"/>
    <w:rsid w:val="6D6D192C"/>
    <w:rsid w:val="6D777E6B"/>
    <w:rsid w:val="6D7B4CAA"/>
    <w:rsid w:val="6D84645E"/>
    <w:rsid w:val="6D8F437E"/>
    <w:rsid w:val="6D990245"/>
    <w:rsid w:val="6D997573"/>
    <w:rsid w:val="6D9D000B"/>
    <w:rsid w:val="6DA026C8"/>
    <w:rsid w:val="6DA531CF"/>
    <w:rsid w:val="6DAC5479"/>
    <w:rsid w:val="6DB46943"/>
    <w:rsid w:val="6DC62455"/>
    <w:rsid w:val="6DE4394A"/>
    <w:rsid w:val="6DED7696"/>
    <w:rsid w:val="6DF60C91"/>
    <w:rsid w:val="6E035FBA"/>
    <w:rsid w:val="6E123F60"/>
    <w:rsid w:val="6E2E7FD1"/>
    <w:rsid w:val="6E5231A4"/>
    <w:rsid w:val="6E5A40EE"/>
    <w:rsid w:val="6E5C19CE"/>
    <w:rsid w:val="6E671D27"/>
    <w:rsid w:val="6E78772A"/>
    <w:rsid w:val="6E7D48F4"/>
    <w:rsid w:val="6E842069"/>
    <w:rsid w:val="6E9C16AF"/>
    <w:rsid w:val="6E9D390D"/>
    <w:rsid w:val="6EAC20D1"/>
    <w:rsid w:val="6EC44A40"/>
    <w:rsid w:val="6EE10B05"/>
    <w:rsid w:val="6EEC1689"/>
    <w:rsid w:val="6F0472BB"/>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E70E7"/>
    <w:rsid w:val="6FE54985"/>
    <w:rsid w:val="6FEC7554"/>
    <w:rsid w:val="6FF1283A"/>
    <w:rsid w:val="700D5DEC"/>
    <w:rsid w:val="70364C9F"/>
    <w:rsid w:val="70563262"/>
    <w:rsid w:val="705873A3"/>
    <w:rsid w:val="70651FBD"/>
    <w:rsid w:val="70726F06"/>
    <w:rsid w:val="708C46A0"/>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613AEC"/>
    <w:rsid w:val="716C54B9"/>
    <w:rsid w:val="717C638C"/>
    <w:rsid w:val="71896C8F"/>
    <w:rsid w:val="71896F50"/>
    <w:rsid w:val="719B216D"/>
    <w:rsid w:val="71A17F23"/>
    <w:rsid w:val="71B330DD"/>
    <w:rsid w:val="71B57D4F"/>
    <w:rsid w:val="71B752EE"/>
    <w:rsid w:val="71C66F16"/>
    <w:rsid w:val="71DB12A7"/>
    <w:rsid w:val="71E40223"/>
    <w:rsid w:val="72106F1F"/>
    <w:rsid w:val="722D57C7"/>
    <w:rsid w:val="723423C2"/>
    <w:rsid w:val="724062B5"/>
    <w:rsid w:val="724A0704"/>
    <w:rsid w:val="724F46F0"/>
    <w:rsid w:val="7255143F"/>
    <w:rsid w:val="725D42D9"/>
    <w:rsid w:val="726436E6"/>
    <w:rsid w:val="72700C83"/>
    <w:rsid w:val="727E6483"/>
    <w:rsid w:val="72843406"/>
    <w:rsid w:val="728453D5"/>
    <w:rsid w:val="72935827"/>
    <w:rsid w:val="729660C5"/>
    <w:rsid w:val="729B79DD"/>
    <w:rsid w:val="72AC0DAF"/>
    <w:rsid w:val="72BB1BA7"/>
    <w:rsid w:val="72C773DB"/>
    <w:rsid w:val="72D051AC"/>
    <w:rsid w:val="72D05F60"/>
    <w:rsid w:val="72EB3D62"/>
    <w:rsid w:val="72ED426C"/>
    <w:rsid w:val="72F91A90"/>
    <w:rsid w:val="731C314C"/>
    <w:rsid w:val="73237AF4"/>
    <w:rsid w:val="732927A3"/>
    <w:rsid w:val="734333B2"/>
    <w:rsid w:val="736067B6"/>
    <w:rsid w:val="73666CF1"/>
    <w:rsid w:val="73807E8E"/>
    <w:rsid w:val="7383558F"/>
    <w:rsid w:val="738B5FB1"/>
    <w:rsid w:val="73B02110"/>
    <w:rsid w:val="73CA3785"/>
    <w:rsid w:val="73CE0E30"/>
    <w:rsid w:val="73E42131"/>
    <w:rsid w:val="73F95D4E"/>
    <w:rsid w:val="74044161"/>
    <w:rsid w:val="74157DA1"/>
    <w:rsid w:val="74194164"/>
    <w:rsid w:val="741C0ACA"/>
    <w:rsid w:val="742B0327"/>
    <w:rsid w:val="742D6B25"/>
    <w:rsid w:val="742F0F2B"/>
    <w:rsid w:val="744446C4"/>
    <w:rsid w:val="74524A6C"/>
    <w:rsid w:val="74583995"/>
    <w:rsid w:val="745C1A87"/>
    <w:rsid w:val="745D46B6"/>
    <w:rsid w:val="74674908"/>
    <w:rsid w:val="747E2170"/>
    <w:rsid w:val="749109DA"/>
    <w:rsid w:val="74994FF2"/>
    <w:rsid w:val="749D631A"/>
    <w:rsid w:val="74A93ADB"/>
    <w:rsid w:val="74AB764B"/>
    <w:rsid w:val="74B35815"/>
    <w:rsid w:val="74B86703"/>
    <w:rsid w:val="74BA0C6B"/>
    <w:rsid w:val="74BB501E"/>
    <w:rsid w:val="74EE31EA"/>
    <w:rsid w:val="74F039E8"/>
    <w:rsid w:val="74FA2880"/>
    <w:rsid w:val="750D20E7"/>
    <w:rsid w:val="75101C40"/>
    <w:rsid w:val="75225CBF"/>
    <w:rsid w:val="75350693"/>
    <w:rsid w:val="753B48E1"/>
    <w:rsid w:val="753D3667"/>
    <w:rsid w:val="7546677D"/>
    <w:rsid w:val="754B2AC0"/>
    <w:rsid w:val="754D466C"/>
    <w:rsid w:val="754F4CC4"/>
    <w:rsid w:val="7554600D"/>
    <w:rsid w:val="755B2C17"/>
    <w:rsid w:val="756338A7"/>
    <w:rsid w:val="756A69CE"/>
    <w:rsid w:val="756C6D34"/>
    <w:rsid w:val="756E0B0A"/>
    <w:rsid w:val="756F18B8"/>
    <w:rsid w:val="757031D9"/>
    <w:rsid w:val="757537C1"/>
    <w:rsid w:val="75806983"/>
    <w:rsid w:val="75814167"/>
    <w:rsid w:val="75842DFC"/>
    <w:rsid w:val="758E0290"/>
    <w:rsid w:val="75A1492D"/>
    <w:rsid w:val="75A667A1"/>
    <w:rsid w:val="75B9416A"/>
    <w:rsid w:val="75BE0722"/>
    <w:rsid w:val="75C247F2"/>
    <w:rsid w:val="75CC7278"/>
    <w:rsid w:val="75CD7BB5"/>
    <w:rsid w:val="75D833A4"/>
    <w:rsid w:val="75ED7C1C"/>
    <w:rsid w:val="75F1698E"/>
    <w:rsid w:val="7605562E"/>
    <w:rsid w:val="7616334A"/>
    <w:rsid w:val="762C54EE"/>
    <w:rsid w:val="76395565"/>
    <w:rsid w:val="76437D02"/>
    <w:rsid w:val="76442B95"/>
    <w:rsid w:val="765120A6"/>
    <w:rsid w:val="767F05D4"/>
    <w:rsid w:val="76A57736"/>
    <w:rsid w:val="76BF7D3D"/>
    <w:rsid w:val="76C52AEB"/>
    <w:rsid w:val="76CC7C35"/>
    <w:rsid w:val="76D264D4"/>
    <w:rsid w:val="76D62103"/>
    <w:rsid w:val="76D66A80"/>
    <w:rsid w:val="76E13C82"/>
    <w:rsid w:val="76E955C3"/>
    <w:rsid w:val="76ED50F2"/>
    <w:rsid w:val="76FB26C3"/>
    <w:rsid w:val="76FD43AC"/>
    <w:rsid w:val="77123ACC"/>
    <w:rsid w:val="77247924"/>
    <w:rsid w:val="772B1B20"/>
    <w:rsid w:val="77406B01"/>
    <w:rsid w:val="77510935"/>
    <w:rsid w:val="77533C64"/>
    <w:rsid w:val="77545425"/>
    <w:rsid w:val="77634F3B"/>
    <w:rsid w:val="77691105"/>
    <w:rsid w:val="777F291C"/>
    <w:rsid w:val="778A3EDB"/>
    <w:rsid w:val="778A4A16"/>
    <w:rsid w:val="778E76B4"/>
    <w:rsid w:val="77AA25C6"/>
    <w:rsid w:val="77CA1601"/>
    <w:rsid w:val="77CA2EEF"/>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736E9F"/>
    <w:rsid w:val="78777109"/>
    <w:rsid w:val="788B1B55"/>
    <w:rsid w:val="788E7256"/>
    <w:rsid w:val="78AB03F5"/>
    <w:rsid w:val="78AB4E34"/>
    <w:rsid w:val="78B8567C"/>
    <w:rsid w:val="78BA1843"/>
    <w:rsid w:val="78C360AE"/>
    <w:rsid w:val="78F37C03"/>
    <w:rsid w:val="78F7615B"/>
    <w:rsid w:val="78FD2962"/>
    <w:rsid w:val="79157D37"/>
    <w:rsid w:val="792B5645"/>
    <w:rsid w:val="792C013A"/>
    <w:rsid w:val="792F4674"/>
    <w:rsid w:val="79307089"/>
    <w:rsid w:val="79373219"/>
    <w:rsid w:val="79431DFB"/>
    <w:rsid w:val="794A4288"/>
    <w:rsid w:val="794C7980"/>
    <w:rsid w:val="7954036F"/>
    <w:rsid w:val="7954379C"/>
    <w:rsid w:val="7963139E"/>
    <w:rsid w:val="796A36B4"/>
    <w:rsid w:val="796F2A8D"/>
    <w:rsid w:val="797A39DC"/>
    <w:rsid w:val="798B23A6"/>
    <w:rsid w:val="79A04DFD"/>
    <w:rsid w:val="79A300EC"/>
    <w:rsid w:val="79A86542"/>
    <w:rsid w:val="79BE5E62"/>
    <w:rsid w:val="79C066CF"/>
    <w:rsid w:val="79CB7235"/>
    <w:rsid w:val="79D00261"/>
    <w:rsid w:val="79D72059"/>
    <w:rsid w:val="79D917F7"/>
    <w:rsid w:val="79E34D47"/>
    <w:rsid w:val="79EC33C3"/>
    <w:rsid w:val="7A195421"/>
    <w:rsid w:val="7A1C1793"/>
    <w:rsid w:val="7A1C4DC7"/>
    <w:rsid w:val="7A317435"/>
    <w:rsid w:val="7A3A078E"/>
    <w:rsid w:val="7A3E119B"/>
    <w:rsid w:val="7A417F22"/>
    <w:rsid w:val="7A45124E"/>
    <w:rsid w:val="7A474029"/>
    <w:rsid w:val="7A4928E9"/>
    <w:rsid w:val="7A4C7BCA"/>
    <w:rsid w:val="7A664EA9"/>
    <w:rsid w:val="7A7E555C"/>
    <w:rsid w:val="7A7F307F"/>
    <w:rsid w:val="7A850292"/>
    <w:rsid w:val="7A864059"/>
    <w:rsid w:val="7A991285"/>
    <w:rsid w:val="7AA037BE"/>
    <w:rsid w:val="7AAC03BC"/>
    <w:rsid w:val="7AAE120D"/>
    <w:rsid w:val="7AB2157C"/>
    <w:rsid w:val="7AB865C0"/>
    <w:rsid w:val="7AC179AB"/>
    <w:rsid w:val="7AC528C4"/>
    <w:rsid w:val="7AC77F5C"/>
    <w:rsid w:val="7ACE4545"/>
    <w:rsid w:val="7AD64FE1"/>
    <w:rsid w:val="7ADA66BB"/>
    <w:rsid w:val="7AE46A47"/>
    <w:rsid w:val="7AE80992"/>
    <w:rsid w:val="7AE9752E"/>
    <w:rsid w:val="7AEC1055"/>
    <w:rsid w:val="7AF250BD"/>
    <w:rsid w:val="7AF51135"/>
    <w:rsid w:val="7AF6094A"/>
    <w:rsid w:val="7AFC2853"/>
    <w:rsid w:val="7AFE078F"/>
    <w:rsid w:val="7B0320BB"/>
    <w:rsid w:val="7B1D0513"/>
    <w:rsid w:val="7B1E76B6"/>
    <w:rsid w:val="7B220D7A"/>
    <w:rsid w:val="7B2B290D"/>
    <w:rsid w:val="7B2B5921"/>
    <w:rsid w:val="7B2D07A7"/>
    <w:rsid w:val="7B396E35"/>
    <w:rsid w:val="7B5204F9"/>
    <w:rsid w:val="7B5641E6"/>
    <w:rsid w:val="7B612D94"/>
    <w:rsid w:val="7B615DFB"/>
    <w:rsid w:val="7B69538B"/>
    <w:rsid w:val="7B6E3852"/>
    <w:rsid w:val="7B745405"/>
    <w:rsid w:val="7B7E5E0A"/>
    <w:rsid w:val="7B89373C"/>
    <w:rsid w:val="7B8B54F1"/>
    <w:rsid w:val="7BC57D1D"/>
    <w:rsid w:val="7BCD7043"/>
    <w:rsid w:val="7BDA2B39"/>
    <w:rsid w:val="7BE114B4"/>
    <w:rsid w:val="7C027B82"/>
    <w:rsid w:val="7C0A4F8F"/>
    <w:rsid w:val="7C120F4C"/>
    <w:rsid w:val="7C264FA8"/>
    <w:rsid w:val="7C274E7E"/>
    <w:rsid w:val="7C280E42"/>
    <w:rsid w:val="7C4A7F77"/>
    <w:rsid w:val="7C4F49BF"/>
    <w:rsid w:val="7C662380"/>
    <w:rsid w:val="7C7F4F3C"/>
    <w:rsid w:val="7C9C55B4"/>
    <w:rsid w:val="7CA544A2"/>
    <w:rsid w:val="7CA91615"/>
    <w:rsid w:val="7CAC6750"/>
    <w:rsid w:val="7CB347D7"/>
    <w:rsid w:val="7CCD67D7"/>
    <w:rsid w:val="7CDA09AD"/>
    <w:rsid w:val="7CDB518C"/>
    <w:rsid w:val="7CDE5E54"/>
    <w:rsid w:val="7CE21673"/>
    <w:rsid w:val="7CE2570E"/>
    <w:rsid w:val="7CF45745"/>
    <w:rsid w:val="7D0E3538"/>
    <w:rsid w:val="7D1E37D2"/>
    <w:rsid w:val="7D3C176C"/>
    <w:rsid w:val="7D4033FD"/>
    <w:rsid w:val="7D4D5856"/>
    <w:rsid w:val="7D537A55"/>
    <w:rsid w:val="7D6D3D53"/>
    <w:rsid w:val="7D737A9C"/>
    <w:rsid w:val="7D8234F7"/>
    <w:rsid w:val="7DAA16F6"/>
    <w:rsid w:val="7DCA2855"/>
    <w:rsid w:val="7DE14EF9"/>
    <w:rsid w:val="7DEF3EAB"/>
    <w:rsid w:val="7E0E593E"/>
    <w:rsid w:val="7E132DE5"/>
    <w:rsid w:val="7E183EEA"/>
    <w:rsid w:val="7E1E462A"/>
    <w:rsid w:val="7E245663"/>
    <w:rsid w:val="7E440B2B"/>
    <w:rsid w:val="7E4A22B2"/>
    <w:rsid w:val="7E4F61B6"/>
    <w:rsid w:val="7E5022F4"/>
    <w:rsid w:val="7E6752B6"/>
    <w:rsid w:val="7E717A7B"/>
    <w:rsid w:val="7E720C01"/>
    <w:rsid w:val="7E80292D"/>
    <w:rsid w:val="7E84382C"/>
    <w:rsid w:val="7E855AE7"/>
    <w:rsid w:val="7E9D718F"/>
    <w:rsid w:val="7EA7411B"/>
    <w:rsid w:val="7EA874D5"/>
    <w:rsid w:val="7EAA0221"/>
    <w:rsid w:val="7EB02A3C"/>
    <w:rsid w:val="7EB714C1"/>
    <w:rsid w:val="7EB81375"/>
    <w:rsid w:val="7EC92354"/>
    <w:rsid w:val="7ECF4278"/>
    <w:rsid w:val="7ED326C7"/>
    <w:rsid w:val="7EDF789E"/>
    <w:rsid w:val="7F0A6F2E"/>
    <w:rsid w:val="7F1E459D"/>
    <w:rsid w:val="7F21551C"/>
    <w:rsid w:val="7F2406A4"/>
    <w:rsid w:val="7F251450"/>
    <w:rsid w:val="7F36688A"/>
    <w:rsid w:val="7F381A47"/>
    <w:rsid w:val="7F3932D6"/>
    <w:rsid w:val="7F3B3199"/>
    <w:rsid w:val="7F3D07F6"/>
    <w:rsid w:val="7F40446B"/>
    <w:rsid w:val="7F4D23DA"/>
    <w:rsid w:val="7F613C7E"/>
    <w:rsid w:val="7F686542"/>
    <w:rsid w:val="7F6D7A92"/>
    <w:rsid w:val="7F827F3A"/>
    <w:rsid w:val="7F912BF1"/>
    <w:rsid w:val="7F9676DE"/>
    <w:rsid w:val="7FA4150B"/>
    <w:rsid w:val="7FBC791E"/>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next w:val="23"/>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 w:type="paragraph" w:customStyle="1" w:styleId="84">
    <w:name w:val="列出段落"/>
    <w:basedOn w:val="1"/>
    <w:link w:val="85"/>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 w:type="character" w:customStyle="1" w:styleId="85">
    <w:name w:val="列出段落 字符"/>
    <w:basedOn w:val="31"/>
    <w:link w:val="84"/>
    <w:qFormat/>
    <w:uiPriority w:val="0"/>
    <w:rPr>
      <w:rFonts w:hint="eastAsia" w:ascii="Yu Mincho" w:hAnsi="Yu Mincho" w:eastAsia="Yu Mincho" w:cs="Times New Roman"/>
      <w:kern w:val="2"/>
      <w:sz w:val="21"/>
      <w:szCs w:val="22"/>
      <w:lang w:eastAsia="zh-CN"/>
    </w:rPr>
  </w:style>
  <w:style w:type="paragraph" w:customStyle="1" w:styleId="86">
    <w:name w:val="列出段落1"/>
    <w:basedOn w:val="1"/>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2025-05-09T13:05:29Z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